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4EA1" w14:textId="77777777" w:rsidR="002E1F3F" w:rsidRDefault="002E1F3F" w:rsidP="002E1F3F">
      <w:pPr>
        <w:spacing w:before="240" w:after="240" w:line="360" w:lineRule="auto"/>
        <w:jc w:val="center"/>
        <w:textAlignment w:val="baseline"/>
        <w:rPr>
          <w:rFonts w:ascii="Palatino Linotype" w:eastAsia="Times New Roman" w:hAnsi="Palatino Linotype" w:cs="Arial"/>
          <w:b/>
          <w:sz w:val="24"/>
          <w:szCs w:val="24"/>
          <w:lang w:eastAsia="en-GB"/>
        </w:rPr>
      </w:pPr>
      <w:r>
        <w:rPr>
          <w:rFonts w:ascii="Palatino Linotype" w:eastAsia="Times New Roman" w:hAnsi="Palatino Linotype" w:cs="Arial"/>
          <w:b/>
          <w:sz w:val="24"/>
          <w:szCs w:val="24"/>
          <w:lang w:eastAsia="en-GB"/>
        </w:rPr>
        <w:t xml:space="preserve">COVID 19  </w:t>
      </w:r>
    </w:p>
    <w:p w14:paraId="7DFF5379" w14:textId="77777777" w:rsidR="002E1F3F" w:rsidRDefault="002E1F3F" w:rsidP="002E1F3F">
      <w:pPr>
        <w:spacing w:before="240" w:after="240" w:line="240" w:lineRule="auto"/>
        <w:jc w:val="center"/>
        <w:textAlignment w:val="baseline"/>
        <w:rPr>
          <w:rFonts w:ascii="Palatino Linotype" w:eastAsia="Times New Roman" w:hAnsi="Palatino Linotype" w:cs="Arial"/>
          <w:b/>
          <w:sz w:val="24"/>
          <w:szCs w:val="24"/>
          <w:lang w:eastAsia="en-GB"/>
        </w:rPr>
      </w:pPr>
      <w:r>
        <w:rPr>
          <w:rFonts w:ascii="Palatino Linotype" w:eastAsia="Times New Roman" w:hAnsi="Palatino Linotype" w:cs="Arial"/>
          <w:b/>
          <w:sz w:val="24"/>
          <w:szCs w:val="24"/>
          <w:lang w:eastAsia="en-GB"/>
        </w:rPr>
        <w:t xml:space="preserve">Guidance in respect of Facilitating Pleas of Guilty in </w:t>
      </w:r>
    </w:p>
    <w:p w14:paraId="473232C1" w14:textId="77777777" w:rsidR="002E1F3F" w:rsidRDefault="002E1F3F" w:rsidP="002E1F3F">
      <w:pPr>
        <w:spacing w:before="240" w:after="240" w:line="240" w:lineRule="auto"/>
        <w:jc w:val="center"/>
        <w:textAlignment w:val="baseline"/>
        <w:rPr>
          <w:rFonts w:ascii="Palatino Linotype" w:eastAsia="Times New Roman" w:hAnsi="Palatino Linotype" w:cs="Arial"/>
          <w:b/>
          <w:sz w:val="24"/>
          <w:szCs w:val="24"/>
          <w:lang w:eastAsia="en-GB"/>
        </w:rPr>
      </w:pPr>
      <w:r>
        <w:rPr>
          <w:rFonts w:ascii="Palatino Linotype" w:eastAsia="Times New Roman" w:hAnsi="Palatino Linotype" w:cs="Arial"/>
          <w:b/>
          <w:sz w:val="24"/>
          <w:szCs w:val="24"/>
          <w:lang w:eastAsia="en-GB"/>
        </w:rPr>
        <w:t>Summary Criminal Proceedings in the Sheriff and Justice of the Peace Courts</w:t>
      </w:r>
    </w:p>
    <w:p w14:paraId="6BD2023C" w14:textId="77777777" w:rsidR="002E1F3F" w:rsidRDefault="002E1F3F" w:rsidP="002E1F3F">
      <w:pPr>
        <w:spacing w:before="240" w:after="240" w:line="360" w:lineRule="auto"/>
        <w:jc w:val="center"/>
        <w:textAlignment w:val="baseline"/>
        <w:rPr>
          <w:rFonts w:ascii="Palatino Linotype" w:eastAsia="Times New Roman" w:hAnsi="Palatino Linotype" w:cs="Arial"/>
          <w:b/>
          <w:lang w:eastAsia="en-GB"/>
        </w:rPr>
      </w:pPr>
    </w:p>
    <w:p w14:paraId="72AC95C1" w14:textId="77777777" w:rsidR="002E1F3F" w:rsidRDefault="002E1F3F" w:rsidP="002E1F3F">
      <w:pPr>
        <w:ind w:left="360" w:right="521"/>
        <w:jc w:val="both"/>
        <w:rPr>
          <w:rFonts w:ascii="Palatino Linotype" w:hAnsi="Palatino Linotype"/>
          <w:b/>
        </w:rPr>
      </w:pPr>
      <w:r>
        <w:rPr>
          <w:rFonts w:ascii="Palatino Linotype" w:hAnsi="Palatino Linotype"/>
          <w:b/>
        </w:rPr>
        <w:t>Part 1.</w:t>
      </w:r>
      <w:r>
        <w:rPr>
          <w:rFonts w:ascii="Palatino Linotype" w:hAnsi="Palatino Linotype"/>
          <w:b/>
        </w:rPr>
        <w:tab/>
        <w:t>Introduction</w:t>
      </w:r>
    </w:p>
    <w:p w14:paraId="61FA04EC" w14:textId="77777777" w:rsidR="002E1F3F" w:rsidRDefault="002E1F3F" w:rsidP="002E1F3F">
      <w:pPr>
        <w:ind w:left="360" w:right="521"/>
        <w:jc w:val="both"/>
        <w:rPr>
          <w:rFonts w:ascii="Palatino Linotype" w:hAnsi="Palatino Linotype"/>
          <w:b/>
        </w:rPr>
      </w:pPr>
    </w:p>
    <w:p w14:paraId="4F9BBCA8" w14:textId="6A120314" w:rsidR="002E1F3F" w:rsidRDefault="002E1F3F" w:rsidP="002E1F3F">
      <w:pPr>
        <w:ind w:left="360" w:right="521"/>
        <w:jc w:val="both"/>
        <w:rPr>
          <w:rFonts w:ascii="Palatino Linotype" w:hAnsi="Palatino Linotype"/>
        </w:rPr>
      </w:pPr>
      <w:r>
        <w:rPr>
          <w:rFonts w:ascii="Palatino Linotype" w:hAnsi="Palatino Linotype"/>
        </w:rPr>
        <w:t>1.1</w:t>
      </w:r>
      <w:r>
        <w:rPr>
          <w:rFonts w:ascii="Palatino Linotype" w:hAnsi="Palatino Linotype"/>
        </w:rPr>
        <w:tab/>
        <w:t xml:space="preserve"> </w:t>
      </w:r>
      <w:r>
        <w:rPr>
          <w:rFonts w:ascii="Palatino Linotype" w:hAnsi="Palatino Linotype"/>
        </w:rPr>
        <w:tab/>
        <w:t xml:space="preserve">The purpose of this guidance is to facilitate the efficient disposal of summary criminal proceedings in the sheriff and justice of the peace courts in which a plea of guilty is to be tendered during the current COVID-19 emergency. This guidance has effect from </w:t>
      </w:r>
      <w:r w:rsidR="005A5E5D" w:rsidRPr="005A5E5D">
        <w:rPr>
          <w:rFonts w:ascii="Palatino Linotype" w:hAnsi="Palatino Linotype"/>
        </w:rPr>
        <w:t>11</w:t>
      </w:r>
      <w:r>
        <w:rPr>
          <w:rFonts w:ascii="Palatino Linotype" w:hAnsi="Palatino Linotype"/>
        </w:rPr>
        <w:t xml:space="preserve"> May 2020.</w:t>
      </w:r>
    </w:p>
    <w:p w14:paraId="24A15A97" w14:textId="77777777" w:rsidR="002E1F3F" w:rsidRDefault="002E1F3F" w:rsidP="002E1F3F">
      <w:pPr>
        <w:ind w:left="360" w:right="521"/>
        <w:jc w:val="both"/>
        <w:rPr>
          <w:rFonts w:ascii="Palatino Linotype" w:hAnsi="Palatino Linotype"/>
        </w:rPr>
      </w:pPr>
    </w:p>
    <w:p w14:paraId="5D1D195D" w14:textId="77777777" w:rsidR="002E1F3F" w:rsidRDefault="002E1F3F" w:rsidP="002E1F3F">
      <w:pPr>
        <w:ind w:left="360" w:right="521"/>
        <w:jc w:val="both"/>
        <w:rPr>
          <w:rFonts w:ascii="Palatino Linotype" w:hAnsi="Palatino Linotype"/>
        </w:rPr>
      </w:pPr>
      <w:r>
        <w:rPr>
          <w:rFonts w:ascii="Palatino Linotype" w:hAnsi="Palatino Linotype"/>
        </w:rPr>
        <w:t>1.2</w:t>
      </w:r>
      <w:r>
        <w:rPr>
          <w:rFonts w:ascii="Palatino Linotype" w:hAnsi="Palatino Linotype"/>
        </w:rPr>
        <w:tab/>
      </w:r>
      <w:r>
        <w:rPr>
          <w:rFonts w:ascii="Palatino Linotype" w:hAnsi="Palatino Linotype"/>
        </w:rPr>
        <w:tab/>
        <w:t xml:space="preserve">Compliance with the Government’s measures to slow the spread of the virus is vital. Accordingly, a return to business as usual is not viable in the near future. Nevertheless, the aim is that with the co-operation of parties summary criminal proceedings in which the accused wishes to tender a plea of guilty which is acceptable to the prosecutor can be resolved in the sheriff and justice of the peace courts. </w:t>
      </w:r>
    </w:p>
    <w:p w14:paraId="4062DBB4" w14:textId="77777777" w:rsidR="002E1F3F" w:rsidRDefault="002E1F3F" w:rsidP="002E1F3F">
      <w:pPr>
        <w:ind w:left="360" w:right="521"/>
        <w:jc w:val="both"/>
        <w:rPr>
          <w:rFonts w:ascii="Palatino Linotype" w:hAnsi="Palatino Linotype"/>
        </w:rPr>
      </w:pPr>
    </w:p>
    <w:p w14:paraId="2B9356D8" w14:textId="77777777" w:rsidR="002E1F3F" w:rsidRDefault="002E1F3F" w:rsidP="002E1F3F">
      <w:pPr>
        <w:ind w:left="360" w:right="521"/>
        <w:jc w:val="both"/>
        <w:rPr>
          <w:rFonts w:ascii="Palatino Linotype" w:hAnsi="Palatino Linotype"/>
        </w:rPr>
      </w:pPr>
      <w:r>
        <w:rPr>
          <w:rFonts w:ascii="Palatino Linotype" w:hAnsi="Palatino Linotype"/>
        </w:rPr>
        <w:t>1.3</w:t>
      </w:r>
      <w:r>
        <w:rPr>
          <w:rFonts w:ascii="Palatino Linotype" w:hAnsi="Palatino Linotype"/>
        </w:rPr>
        <w:tab/>
      </w:r>
      <w:r>
        <w:rPr>
          <w:rFonts w:ascii="Palatino Linotype" w:hAnsi="Palatino Linotype"/>
        </w:rPr>
        <w:tab/>
        <w:t>This guidance is dependent upon advance discussion between the solicitor for the accused and the prosecutor. Prior to an application being made in terms of this guidance the solicitor for the accused and the prosecutor should discuss all matters relevant to the efficient disposal of the case.</w:t>
      </w:r>
    </w:p>
    <w:p w14:paraId="4E7756C3" w14:textId="77777777" w:rsidR="002E1F3F" w:rsidRDefault="002E1F3F" w:rsidP="002E1F3F">
      <w:pPr>
        <w:ind w:left="360" w:right="521"/>
        <w:jc w:val="both"/>
        <w:rPr>
          <w:rFonts w:ascii="Palatino Linotype" w:hAnsi="Palatino Linotype"/>
        </w:rPr>
      </w:pPr>
    </w:p>
    <w:p w14:paraId="53485CD1" w14:textId="39753B12" w:rsidR="002E1F3F" w:rsidRDefault="002E1F3F" w:rsidP="002E1F3F">
      <w:pPr>
        <w:ind w:left="360" w:right="521"/>
        <w:jc w:val="both"/>
        <w:rPr>
          <w:rFonts w:ascii="Palatino Linotype" w:hAnsi="Palatino Linotype"/>
        </w:rPr>
      </w:pPr>
      <w:r>
        <w:rPr>
          <w:rFonts w:ascii="Palatino Linotype" w:hAnsi="Palatino Linotype"/>
        </w:rPr>
        <w:t>1.4</w:t>
      </w:r>
      <w:r>
        <w:rPr>
          <w:rFonts w:ascii="Palatino Linotype" w:hAnsi="Palatino Linotype"/>
        </w:rPr>
        <w:tab/>
      </w:r>
      <w:r>
        <w:rPr>
          <w:rFonts w:ascii="Palatino Linotype" w:hAnsi="Palatino Linotype"/>
        </w:rPr>
        <w:tab/>
        <w:t>The procedure set out in this guidance is only to be adopted where the solicitor for the accused and the prosecutor</w:t>
      </w:r>
      <w:r w:rsidR="000214B0">
        <w:rPr>
          <w:rFonts w:ascii="Palatino Linotype" w:hAnsi="Palatino Linotype"/>
        </w:rPr>
        <w:t xml:space="preserve"> have agreed both the plea(s) to be recorded and the facts on which the plea(s) proceeds and </w:t>
      </w:r>
      <w:r>
        <w:rPr>
          <w:rFonts w:ascii="Palatino Linotype" w:hAnsi="Palatino Linotype"/>
        </w:rPr>
        <w:t xml:space="preserve"> are each of the opinion that the proceedings may be capable of determination in the absence of the accused or the solicitor for the accused. </w:t>
      </w:r>
    </w:p>
    <w:p w14:paraId="1A1D9FEF" w14:textId="77777777" w:rsidR="002E1F3F" w:rsidRDefault="002E1F3F" w:rsidP="002E1F3F">
      <w:pPr>
        <w:ind w:left="360" w:right="521"/>
        <w:jc w:val="both"/>
        <w:rPr>
          <w:rFonts w:ascii="Palatino Linotype" w:hAnsi="Palatino Linotype"/>
        </w:rPr>
      </w:pPr>
    </w:p>
    <w:p w14:paraId="33537FD9" w14:textId="6C187913" w:rsidR="002E1F3F" w:rsidRDefault="002E1F3F" w:rsidP="002E1F3F">
      <w:pPr>
        <w:ind w:left="360" w:right="521"/>
        <w:jc w:val="both"/>
        <w:rPr>
          <w:rFonts w:ascii="Palatino Linotype" w:hAnsi="Palatino Linotype"/>
        </w:rPr>
      </w:pPr>
      <w:r>
        <w:rPr>
          <w:rFonts w:ascii="Palatino Linotype" w:hAnsi="Palatino Linotype"/>
        </w:rPr>
        <w:t>1.5</w:t>
      </w:r>
      <w:r>
        <w:rPr>
          <w:rFonts w:ascii="Palatino Linotype" w:hAnsi="Palatino Linotype"/>
        </w:rPr>
        <w:tab/>
      </w:r>
      <w:r>
        <w:rPr>
          <w:rFonts w:ascii="Palatino Linotype" w:hAnsi="Palatino Linotype"/>
        </w:rPr>
        <w:tab/>
        <w:t>The procedure set out in Part 4 below does not require the attendance at court of the accused and the solicitor for the accused</w:t>
      </w:r>
      <w:r w:rsidR="006379C9">
        <w:rPr>
          <w:rFonts w:ascii="Palatino Linotype" w:hAnsi="Palatino Linotype"/>
        </w:rPr>
        <w:t xml:space="preserve">. The </w:t>
      </w:r>
      <w:r w:rsidR="00012FF6">
        <w:rPr>
          <w:rFonts w:ascii="Palatino Linotype" w:hAnsi="Palatino Linotype"/>
        </w:rPr>
        <w:t xml:space="preserve">procedure is designed to permit the attendance of the </w:t>
      </w:r>
      <w:r w:rsidR="006379C9">
        <w:rPr>
          <w:rFonts w:ascii="Palatino Linotype" w:hAnsi="Palatino Linotype"/>
        </w:rPr>
        <w:t xml:space="preserve">prosecutor by electronic means. </w:t>
      </w:r>
    </w:p>
    <w:p w14:paraId="255C78AE" w14:textId="77777777" w:rsidR="002E1F3F" w:rsidRDefault="002E1F3F" w:rsidP="002E1F3F">
      <w:pPr>
        <w:ind w:left="360" w:right="521"/>
        <w:jc w:val="both"/>
        <w:rPr>
          <w:rFonts w:ascii="Palatino Linotype" w:hAnsi="Palatino Linotype"/>
        </w:rPr>
      </w:pPr>
      <w:r>
        <w:rPr>
          <w:rFonts w:ascii="Palatino Linotype" w:hAnsi="Palatino Linotype"/>
        </w:rPr>
        <w:lastRenderedPageBreak/>
        <w:t>1.6</w:t>
      </w:r>
      <w:r>
        <w:rPr>
          <w:rFonts w:ascii="Palatino Linotype" w:hAnsi="Palatino Linotype"/>
        </w:rPr>
        <w:tab/>
      </w:r>
      <w:r>
        <w:rPr>
          <w:rFonts w:ascii="Palatino Linotype" w:hAnsi="Palatino Linotype"/>
        </w:rPr>
        <w:tab/>
        <w:t>All applications made under and in terms of this guidance shall be made by electronic means to the e-mail address for the relevant hub court set out in Appendix 1 to this guidance.</w:t>
      </w:r>
    </w:p>
    <w:p w14:paraId="678E84AC" w14:textId="77777777" w:rsidR="002E1F3F" w:rsidRDefault="002E1F3F" w:rsidP="002E1F3F">
      <w:pPr>
        <w:ind w:left="360" w:right="521"/>
        <w:jc w:val="both"/>
        <w:rPr>
          <w:rFonts w:ascii="Palatino Linotype" w:hAnsi="Palatino Linotype"/>
        </w:rPr>
      </w:pPr>
    </w:p>
    <w:p w14:paraId="6184B60A" w14:textId="77777777" w:rsidR="002E1F3F" w:rsidRDefault="002E1F3F" w:rsidP="002E1F3F">
      <w:pPr>
        <w:ind w:left="360" w:right="521"/>
        <w:jc w:val="both"/>
        <w:rPr>
          <w:rFonts w:ascii="Palatino Linotype" w:hAnsi="Palatino Linotype"/>
        </w:rPr>
      </w:pPr>
      <w:r>
        <w:rPr>
          <w:rFonts w:ascii="Palatino Linotype" w:hAnsi="Palatino Linotype"/>
        </w:rPr>
        <w:t>1.7</w:t>
      </w:r>
      <w:r>
        <w:rPr>
          <w:rFonts w:ascii="Palatino Linotype" w:hAnsi="Palatino Linotype"/>
        </w:rPr>
        <w:tab/>
      </w:r>
      <w:r>
        <w:rPr>
          <w:rFonts w:ascii="Palatino Linotype" w:hAnsi="Palatino Linotype"/>
        </w:rPr>
        <w:tab/>
        <w:t>Each hub court shall provide diets for the purposes of an accused tendering a plea of guilty in terms of this guidance.</w:t>
      </w:r>
    </w:p>
    <w:p w14:paraId="3B488BA1" w14:textId="77777777" w:rsidR="002E1F3F" w:rsidRDefault="002E1F3F" w:rsidP="002E1F3F">
      <w:pPr>
        <w:ind w:left="360" w:right="521"/>
        <w:jc w:val="both"/>
        <w:rPr>
          <w:rFonts w:ascii="Palatino Linotype" w:hAnsi="Palatino Linotype"/>
        </w:rPr>
      </w:pPr>
    </w:p>
    <w:p w14:paraId="69216BD7" w14:textId="77777777" w:rsidR="002E1F3F" w:rsidRDefault="002E1F3F" w:rsidP="002E1F3F">
      <w:pPr>
        <w:ind w:left="360" w:right="521"/>
        <w:jc w:val="both"/>
        <w:rPr>
          <w:rFonts w:ascii="Palatino Linotype" w:hAnsi="Palatino Linotype"/>
          <w:b/>
        </w:rPr>
      </w:pPr>
      <w:r>
        <w:rPr>
          <w:rFonts w:ascii="Palatino Linotype" w:hAnsi="Palatino Linotype"/>
          <w:b/>
        </w:rPr>
        <w:t>Part 2.</w:t>
      </w:r>
      <w:r>
        <w:rPr>
          <w:rFonts w:ascii="Palatino Linotype" w:hAnsi="Palatino Linotype"/>
          <w:b/>
        </w:rPr>
        <w:tab/>
        <w:t>Transfer from a Closed Court</w:t>
      </w:r>
    </w:p>
    <w:p w14:paraId="4232F477" w14:textId="77777777" w:rsidR="002E1F3F" w:rsidRDefault="002E1F3F" w:rsidP="002E1F3F">
      <w:pPr>
        <w:ind w:left="360" w:right="521"/>
        <w:jc w:val="both"/>
        <w:rPr>
          <w:rFonts w:ascii="Palatino Linotype" w:hAnsi="Palatino Linotype"/>
        </w:rPr>
      </w:pPr>
    </w:p>
    <w:p w14:paraId="37D95F82" w14:textId="30D77A9B" w:rsidR="002E1F3F" w:rsidRDefault="002E1F3F" w:rsidP="002E1F3F">
      <w:pPr>
        <w:ind w:left="360" w:right="521"/>
        <w:jc w:val="both"/>
        <w:rPr>
          <w:rFonts w:ascii="Palatino Linotype" w:hAnsi="Palatino Linotype"/>
        </w:rPr>
      </w:pPr>
      <w:r>
        <w:rPr>
          <w:rFonts w:ascii="Palatino Linotype" w:hAnsi="Palatino Linotype"/>
        </w:rPr>
        <w:t>2.1</w:t>
      </w:r>
      <w:r>
        <w:rPr>
          <w:rFonts w:ascii="Palatino Linotype" w:hAnsi="Palatino Linotype"/>
        </w:rPr>
        <w:tab/>
      </w:r>
      <w:r>
        <w:rPr>
          <w:rFonts w:ascii="Palatino Linotype" w:hAnsi="Palatino Linotype"/>
        </w:rPr>
        <w:tab/>
        <w:t>Where proceedings in which the accused wishes to tender a plea of guilty that is acceptable to the prosecutor were commenced in a court that is currently closed</w:t>
      </w:r>
      <w:r w:rsidR="000A5693">
        <w:rPr>
          <w:rFonts w:ascii="Palatino Linotype" w:hAnsi="Palatino Linotype"/>
        </w:rPr>
        <w:t xml:space="preserve"> (and have not subsequently been transferred to a hub court)</w:t>
      </w:r>
      <w:r>
        <w:rPr>
          <w:rFonts w:ascii="Palatino Linotype" w:hAnsi="Palatino Linotype"/>
        </w:rPr>
        <w:t>, once agreement has been reached between the solicitor for the accused and the prosecutor as to the terms of the plea of guilty, the prosecutor shall, by electronic means, make application to either the sheriff in terms of section 137A(1) of the Criminal Procedure (Scotland) Act 1995 (“the 1995 Act”) or a justice in terms of section 137CA(1) of the 1995 Act for an order to transfer the proceedings to the relevant hub court.</w:t>
      </w:r>
    </w:p>
    <w:p w14:paraId="2931D5BF" w14:textId="77777777" w:rsidR="002E1F3F" w:rsidRDefault="002E1F3F" w:rsidP="002E1F3F">
      <w:pPr>
        <w:ind w:left="360" w:right="521"/>
        <w:jc w:val="both"/>
        <w:rPr>
          <w:rFonts w:ascii="Palatino Linotype" w:hAnsi="Palatino Linotype"/>
        </w:rPr>
      </w:pPr>
    </w:p>
    <w:p w14:paraId="77E1B9DB" w14:textId="3A6E015C" w:rsidR="002E1F3F" w:rsidRDefault="002E1F3F" w:rsidP="002E1F3F">
      <w:pPr>
        <w:ind w:left="360" w:right="521"/>
        <w:jc w:val="both"/>
        <w:rPr>
          <w:rFonts w:ascii="Palatino Linotype" w:hAnsi="Palatino Linotype"/>
        </w:rPr>
      </w:pPr>
      <w:r>
        <w:rPr>
          <w:rFonts w:ascii="Palatino Linotype" w:hAnsi="Palatino Linotype"/>
        </w:rPr>
        <w:t>2.2</w:t>
      </w:r>
      <w:r>
        <w:rPr>
          <w:rFonts w:ascii="Palatino Linotype" w:hAnsi="Palatino Linotype"/>
        </w:rPr>
        <w:tab/>
      </w:r>
      <w:r>
        <w:rPr>
          <w:rFonts w:ascii="Palatino Linotype" w:hAnsi="Palatino Linotype"/>
        </w:rPr>
        <w:tab/>
        <w:t>Upon making an order for the transfer of the proceedings the sheriff or justice shall adjourn the proceedings to a diet in the relevant hub court at which the plea of guilty will be considered by the sheriff or justice in terms of paragraph 4.2 below.</w:t>
      </w:r>
    </w:p>
    <w:p w14:paraId="29A3EC9D" w14:textId="77777777" w:rsidR="002E1F3F" w:rsidRDefault="002E1F3F" w:rsidP="002E1F3F">
      <w:pPr>
        <w:ind w:left="360" w:right="521"/>
        <w:jc w:val="both"/>
        <w:rPr>
          <w:rFonts w:ascii="Palatino Linotype" w:hAnsi="Palatino Linotype"/>
        </w:rPr>
      </w:pPr>
    </w:p>
    <w:p w14:paraId="10B905CD" w14:textId="77777777" w:rsidR="002E1F3F" w:rsidRDefault="002E1F3F" w:rsidP="002E1F3F">
      <w:pPr>
        <w:ind w:left="360" w:right="521"/>
        <w:jc w:val="both"/>
        <w:rPr>
          <w:rFonts w:ascii="Palatino Linotype" w:hAnsi="Palatino Linotype"/>
          <w:b/>
        </w:rPr>
      </w:pPr>
      <w:r>
        <w:rPr>
          <w:rFonts w:ascii="Palatino Linotype" w:hAnsi="Palatino Linotype"/>
          <w:b/>
        </w:rPr>
        <w:t>Part 3.</w:t>
      </w:r>
      <w:r>
        <w:rPr>
          <w:rFonts w:ascii="Palatino Linotype" w:hAnsi="Palatino Linotype"/>
          <w:b/>
        </w:rPr>
        <w:tab/>
        <w:t>Proceedings in Hub Courts</w:t>
      </w:r>
    </w:p>
    <w:p w14:paraId="252036E2" w14:textId="77777777" w:rsidR="002E1F3F" w:rsidRDefault="002E1F3F" w:rsidP="002E1F3F">
      <w:pPr>
        <w:ind w:left="360" w:right="521"/>
        <w:jc w:val="both"/>
        <w:rPr>
          <w:rFonts w:ascii="Palatino Linotype" w:hAnsi="Palatino Linotype"/>
          <w:b/>
        </w:rPr>
      </w:pPr>
    </w:p>
    <w:p w14:paraId="5FE6326C" w14:textId="5F0F5A88" w:rsidR="002E1F3F" w:rsidRDefault="002E1F3F" w:rsidP="002E1F3F">
      <w:pPr>
        <w:ind w:left="360" w:right="521"/>
        <w:jc w:val="both"/>
        <w:rPr>
          <w:rFonts w:ascii="Palatino Linotype" w:hAnsi="Palatino Linotype"/>
        </w:rPr>
      </w:pPr>
      <w:r>
        <w:rPr>
          <w:rFonts w:ascii="Palatino Linotype" w:hAnsi="Palatino Linotype"/>
        </w:rPr>
        <w:t>3.1</w:t>
      </w:r>
      <w:r>
        <w:rPr>
          <w:rFonts w:ascii="Palatino Linotype" w:hAnsi="Palatino Linotype"/>
        </w:rPr>
        <w:tab/>
      </w:r>
      <w:r>
        <w:rPr>
          <w:rFonts w:ascii="Palatino Linotype" w:hAnsi="Palatino Linotype"/>
        </w:rPr>
        <w:tab/>
        <w:t xml:space="preserve">Where proceedings in which the accused wishes to tender a plea of guilty that is acceptable to the prosecutor were </w:t>
      </w:r>
      <w:r w:rsidR="000A5693">
        <w:rPr>
          <w:rFonts w:ascii="Palatino Linotype" w:hAnsi="Palatino Linotype"/>
        </w:rPr>
        <w:t xml:space="preserve">either (i) </w:t>
      </w:r>
      <w:r>
        <w:rPr>
          <w:rFonts w:ascii="Palatino Linotype" w:hAnsi="Palatino Linotype"/>
        </w:rPr>
        <w:t>commenced in a hub court</w:t>
      </w:r>
      <w:r w:rsidR="000A5693">
        <w:rPr>
          <w:rFonts w:ascii="Palatino Linotype" w:hAnsi="Palatino Linotype"/>
        </w:rPr>
        <w:t xml:space="preserve">; or </w:t>
      </w:r>
      <w:r w:rsidR="000A5693" w:rsidRPr="000A5693">
        <w:rPr>
          <w:rFonts w:ascii="Palatino Linotype" w:hAnsi="Palatino Linotype"/>
        </w:rPr>
        <w:t>(</w:t>
      </w:r>
      <w:r w:rsidR="000A5693">
        <w:rPr>
          <w:rFonts w:ascii="Palatino Linotype" w:hAnsi="Palatino Linotype"/>
        </w:rPr>
        <w:t>ii) commenced in</w:t>
      </w:r>
      <w:r w:rsidR="000A5693" w:rsidRPr="000A5693">
        <w:rPr>
          <w:rFonts w:ascii="Palatino Linotype" w:hAnsi="Palatino Linotype"/>
        </w:rPr>
        <w:t xml:space="preserve"> a court that is currently closed</w:t>
      </w:r>
      <w:r w:rsidR="000A5693">
        <w:rPr>
          <w:rFonts w:ascii="Palatino Linotype" w:hAnsi="Palatino Linotype"/>
        </w:rPr>
        <w:t xml:space="preserve"> and subsequently been transferred to a hub court</w:t>
      </w:r>
      <w:r>
        <w:rPr>
          <w:rFonts w:ascii="Palatino Linotype" w:hAnsi="Palatino Linotype"/>
        </w:rPr>
        <w:t>, the parties or their solicitors shall, by electronic means, make a joint application to the court in terms of section 137(1) of the 1995 Act to discharge the diet (or diets) previously fixed in the proceedings and to fix an earlier diet in lieu thereof for the purposes of the accused tendering a plea of guilty.</w:t>
      </w:r>
    </w:p>
    <w:p w14:paraId="1D294D87" w14:textId="77777777" w:rsidR="002E1F3F" w:rsidRDefault="002E1F3F" w:rsidP="002E1F3F">
      <w:pPr>
        <w:ind w:left="360" w:right="521"/>
        <w:jc w:val="both"/>
        <w:rPr>
          <w:rFonts w:ascii="Palatino Linotype" w:hAnsi="Palatino Linotype"/>
        </w:rPr>
      </w:pPr>
    </w:p>
    <w:p w14:paraId="548FE3EC" w14:textId="77777777" w:rsidR="002E1F3F" w:rsidRDefault="002E1F3F" w:rsidP="002E1F3F">
      <w:pPr>
        <w:rPr>
          <w:rFonts w:ascii="Palatino Linotype" w:hAnsi="Palatino Linotype"/>
          <w:b/>
        </w:rPr>
      </w:pPr>
      <w:r>
        <w:rPr>
          <w:rFonts w:ascii="Palatino Linotype" w:hAnsi="Palatino Linotype"/>
          <w:b/>
        </w:rPr>
        <w:br w:type="page"/>
      </w:r>
    </w:p>
    <w:p w14:paraId="2F27B132" w14:textId="77777777" w:rsidR="002E1F3F" w:rsidRDefault="002E1F3F" w:rsidP="002E1F3F">
      <w:pPr>
        <w:ind w:left="360" w:right="521"/>
        <w:jc w:val="both"/>
        <w:rPr>
          <w:rFonts w:ascii="Palatino Linotype" w:hAnsi="Palatino Linotype"/>
          <w:b/>
        </w:rPr>
      </w:pPr>
      <w:r>
        <w:rPr>
          <w:rFonts w:ascii="Palatino Linotype" w:hAnsi="Palatino Linotype"/>
          <w:b/>
        </w:rPr>
        <w:lastRenderedPageBreak/>
        <w:t>Part 4.</w:t>
      </w:r>
      <w:r>
        <w:rPr>
          <w:rFonts w:ascii="Palatino Linotype" w:hAnsi="Palatino Linotype"/>
          <w:b/>
        </w:rPr>
        <w:tab/>
        <w:t>Documents to Accompany Applications</w:t>
      </w:r>
    </w:p>
    <w:p w14:paraId="20C5AA8D" w14:textId="77777777" w:rsidR="002E1F3F" w:rsidRDefault="002E1F3F" w:rsidP="002E1F3F">
      <w:pPr>
        <w:ind w:left="360" w:right="521"/>
        <w:jc w:val="both"/>
        <w:rPr>
          <w:rFonts w:ascii="Palatino Linotype" w:hAnsi="Palatino Linotype"/>
        </w:rPr>
      </w:pPr>
    </w:p>
    <w:p w14:paraId="5A2C9F77" w14:textId="77777777" w:rsidR="002E1F3F" w:rsidRDefault="002E1F3F" w:rsidP="002E1F3F">
      <w:pPr>
        <w:spacing w:after="240"/>
        <w:ind w:left="360" w:right="521"/>
        <w:jc w:val="both"/>
        <w:rPr>
          <w:rFonts w:ascii="Palatino Linotype" w:hAnsi="Palatino Linotype"/>
        </w:rPr>
      </w:pPr>
      <w:r>
        <w:rPr>
          <w:rFonts w:ascii="Palatino Linotype" w:hAnsi="Palatino Linotype"/>
        </w:rPr>
        <w:t>4.1</w:t>
      </w:r>
      <w:r>
        <w:rPr>
          <w:rFonts w:ascii="Palatino Linotype" w:hAnsi="Palatino Linotype"/>
        </w:rPr>
        <w:tab/>
      </w:r>
      <w:r>
        <w:rPr>
          <w:rFonts w:ascii="Palatino Linotype" w:hAnsi="Palatino Linotype"/>
        </w:rPr>
        <w:tab/>
        <w:t>An application made in terms of either paragraph 2.1 or paragraph 3.1 shall be accompanied by the following:</w:t>
      </w:r>
    </w:p>
    <w:p w14:paraId="7CEE7391" w14:textId="5D00F294" w:rsidR="002E1F3F" w:rsidRDefault="002E1F3F" w:rsidP="002E1F3F">
      <w:pPr>
        <w:pStyle w:val="ListParagraph"/>
        <w:numPr>
          <w:ilvl w:val="0"/>
          <w:numId w:val="1"/>
        </w:numPr>
        <w:ind w:right="521"/>
        <w:jc w:val="both"/>
        <w:rPr>
          <w:rFonts w:ascii="Palatino Linotype" w:hAnsi="Palatino Linotype"/>
        </w:rPr>
      </w:pPr>
      <w:r>
        <w:rPr>
          <w:rFonts w:ascii="Palatino Linotype" w:hAnsi="Palatino Linotype"/>
        </w:rPr>
        <w:t xml:space="preserve">A </w:t>
      </w:r>
      <w:r w:rsidR="0021491C">
        <w:rPr>
          <w:rFonts w:ascii="Palatino Linotype" w:hAnsi="Palatino Linotype"/>
        </w:rPr>
        <w:t xml:space="preserve">certified </w:t>
      </w:r>
      <w:r>
        <w:rPr>
          <w:rFonts w:ascii="Palatino Linotype" w:hAnsi="Palatino Linotype"/>
        </w:rPr>
        <w:t>copy of the complaint (amended to reflect the agreed plea of guilty where appropriate);</w:t>
      </w:r>
    </w:p>
    <w:p w14:paraId="62D46B9F" w14:textId="4FE636C4" w:rsidR="002E1F3F" w:rsidRDefault="002E1F3F" w:rsidP="002E1F3F">
      <w:pPr>
        <w:pStyle w:val="ListParagraph"/>
        <w:numPr>
          <w:ilvl w:val="0"/>
          <w:numId w:val="1"/>
        </w:numPr>
        <w:ind w:right="521"/>
        <w:jc w:val="both"/>
        <w:rPr>
          <w:rFonts w:ascii="Palatino Linotype" w:hAnsi="Palatino Linotype"/>
        </w:rPr>
      </w:pPr>
      <w:r>
        <w:rPr>
          <w:rFonts w:ascii="Palatino Linotype" w:hAnsi="Palatino Linotype"/>
        </w:rPr>
        <w:t>A letter signed by the accused or his solicitor setting out the terms of the plea of guilty;</w:t>
      </w:r>
    </w:p>
    <w:p w14:paraId="0A31ACF9" w14:textId="77777777" w:rsidR="002E1F3F" w:rsidRDefault="002E1F3F" w:rsidP="002E1F3F">
      <w:pPr>
        <w:pStyle w:val="ListParagraph"/>
        <w:numPr>
          <w:ilvl w:val="0"/>
          <w:numId w:val="1"/>
        </w:numPr>
        <w:ind w:right="521"/>
        <w:jc w:val="both"/>
        <w:rPr>
          <w:rFonts w:ascii="Palatino Linotype" w:hAnsi="Palatino Linotype"/>
        </w:rPr>
      </w:pPr>
      <w:r>
        <w:rPr>
          <w:rFonts w:ascii="Palatino Linotype" w:hAnsi="Palatino Linotype"/>
        </w:rPr>
        <w:t>A schedule of previous convictions admitted by the accused or written confirmation from the prosecutor that there are no previous convictions to be placed before the court:</w:t>
      </w:r>
    </w:p>
    <w:p w14:paraId="2EC589C0" w14:textId="571356DF" w:rsidR="002E1F3F" w:rsidRDefault="00920BA2" w:rsidP="002E1F3F">
      <w:pPr>
        <w:pStyle w:val="ListParagraph"/>
        <w:numPr>
          <w:ilvl w:val="0"/>
          <w:numId w:val="1"/>
        </w:numPr>
        <w:ind w:right="521"/>
        <w:jc w:val="both"/>
        <w:rPr>
          <w:rFonts w:ascii="Palatino Linotype" w:hAnsi="Palatino Linotype"/>
        </w:rPr>
      </w:pPr>
      <w:r>
        <w:rPr>
          <w:rFonts w:ascii="Palatino Linotype" w:hAnsi="Palatino Linotype"/>
        </w:rPr>
        <w:t>The summary of evidence provided by the prosecutor to</w:t>
      </w:r>
      <w:r w:rsidRPr="00920BA2">
        <w:rPr>
          <w:rFonts w:ascii="Palatino Linotype" w:hAnsi="Palatino Linotype"/>
        </w:rPr>
        <w:t xml:space="preserve"> the accused or his solicitor</w:t>
      </w:r>
      <w:r w:rsidR="005220E7">
        <w:rPr>
          <w:rFonts w:ascii="Palatino Linotype" w:hAnsi="Palatino Linotype"/>
        </w:rPr>
        <w:t xml:space="preserve"> with any agreed amendments thereto</w:t>
      </w:r>
      <w:r>
        <w:rPr>
          <w:rFonts w:ascii="Palatino Linotype" w:hAnsi="Palatino Linotype"/>
        </w:rPr>
        <w:t xml:space="preserve"> (</w:t>
      </w:r>
      <w:r w:rsidR="005220E7">
        <w:rPr>
          <w:rFonts w:ascii="Palatino Linotype" w:hAnsi="Palatino Linotype"/>
        </w:rPr>
        <w:t xml:space="preserve">and, where appropriate, </w:t>
      </w:r>
      <w:r>
        <w:rPr>
          <w:rFonts w:ascii="Palatino Linotype" w:hAnsi="Palatino Linotype"/>
        </w:rPr>
        <w:t>redacted to remove any reference to matters which ought not properly be placed before the court in ligh</w:t>
      </w:r>
      <w:r w:rsidR="000C0023">
        <w:rPr>
          <w:rFonts w:ascii="Palatino Linotype" w:hAnsi="Palatino Linotype"/>
        </w:rPr>
        <w:t>t of the agreed plea of guilty);</w:t>
      </w:r>
      <w:r>
        <w:rPr>
          <w:rFonts w:ascii="Palatino Linotype" w:hAnsi="Palatino Linotype"/>
        </w:rPr>
        <w:t xml:space="preserve"> </w:t>
      </w:r>
    </w:p>
    <w:p w14:paraId="6B42548D" w14:textId="62DA033E" w:rsidR="002E1F3F" w:rsidRPr="005A5E5D" w:rsidRDefault="002E1F3F" w:rsidP="005A5E5D">
      <w:pPr>
        <w:pStyle w:val="ListParagraph"/>
        <w:numPr>
          <w:ilvl w:val="0"/>
          <w:numId w:val="1"/>
        </w:numPr>
        <w:ind w:right="521"/>
        <w:jc w:val="both"/>
        <w:rPr>
          <w:rFonts w:ascii="Palatino Linotype" w:hAnsi="Palatino Linotype"/>
        </w:rPr>
      </w:pPr>
      <w:r>
        <w:rPr>
          <w:rFonts w:ascii="Palatino Linotype" w:hAnsi="Palatino Linotype"/>
        </w:rPr>
        <w:t xml:space="preserve">A written plea in mitigation in the form set out in Appendix </w:t>
      </w:r>
      <w:r w:rsidR="003142E9">
        <w:rPr>
          <w:rFonts w:ascii="Palatino Linotype" w:hAnsi="Palatino Linotype"/>
        </w:rPr>
        <w:t>2</w:t>
      </w:r>
      <w:r w:rsidR="0000565C">
        <w:rPr>
          <w:rFonts w:ascii="Palatino Linotype" w:hAnsi="Palatino Linotype"/>
        </w:rPr>
        <w:t>,</w:t>
      </w:r>
      <w:r>
        <w:rPr>
          <w:rFonts w:ascii="Palatino Linotype" w:hAnsi="Palatino Linotype"/>
        </w:rPr>
        <w:t xml:space="preserve"> which </w:t>
      </w:r>
      <w:r>
        <w:rPr>
          <w:rFonts w:ascii="Palatino Linotype" w:hAnsi="Palatino Linotype" w:cs="Arial"/>
        </w:rPr>
        <w:t xml:space="preserve">must provide all relevant information as to the accused which the court will require before proceeding to sentence including </w:t>
      </w:r>
      <w:r w:rsidR="005A5E5D">
        <w:rPr>
          <w:rFonts w:ascii="Palatino Linotype" w:hAnsi="Palatino Linotype" w:cs="Arial"/>
        </w:rPr>
        <w:t xml:space="preserve">current address and contact telephone number; </w:t>
      </w:r>
      <w:r w:rsidRPr="005A5E5D">
        <w:rPr>
          <w:rFonts w:ascii="Palatino Linotype" w:hAnsi="Palatino Linotype" w:cs="Arial"/>
        </w:rPr>
        <w:t>financial, employment, health and domestic circumstances. If it is proposed that the imposition of a monetary penalty is the appropriate disposal the plea in mitigation must fully address the accused’s means (income; outlays and savings) and ability to pay by instalments or by a lump sum</w:t>
      </w:r>
      <w:r w:rsidRPr="005A5E5D">
        <w:rPr>
          <w:rFonts w:ascii="Palatino Linotype" w:hAnsi="Palatino Linotype"/>
        </w:rPr>
        <w:t>; and</w:t>
      </w:r>
    </w:p>
    <w:p w14:paraId="6AB2A233" w14:textId="77777777" w:rsidR="002E1F3F" w:rsidRDefault="002E1F3F" w:rsidP="002E1F3F">
      <w:pPr>
        <w:pStyle w:val="ListParagraph"/>
        <w:numPr>
          <w:ilvl w:val="0"/>
          <w:numId w:val="1"/>
        </w:numPr>
        <w:spacing w:after="480"/>
        <w:ind w:right="521"/>
        <w:jc w:val="both"/>
        <w:rPr>
          <w:rFonts w:ascii="Palatino Linotype" w:hAnsi="Palatino Linotype"/>
        </w:rPr>
      </w:pPr>
      <w:r>
        <w:rPr>
          <w:rFonts w:ascii="Palatino Linotype" w:hAnsi="Palatino Linotype"/>
        </w:rPr>
        <w:t>For an offence (i) under section 1(1) of the Domestic Abuse (Scotland) Act 2018; or (ii) that is aggravated as described in section 1(1)(a) of the Abusive Behaviour and Sexual Harm (Scotland) Act 2016, both the prosecutor and the accused shall provide such information as is available to them to assist the court in considering the question of whether to make a non-harassment order.</w:t>
      </w:r>
    </w:p>
    <w:p w14:paraId="62057DD4" w14:textId="77777777" w:rsidR="002E1F3F" w:rsidRDefault="002E1F3F" w:rsidP="002E1F3F">
      <w:pPr>
        <w:ind w:left="360" w:right="521"/>
        <w:jc w:val="both"/>
        <w:rPr>
          <w:rFonts w:ascii="Palatino Linotype" w:hAnsi="Palatino Linotype"/>
        </w:rPr>
      </w:pPr>
      <w:r>
        <w:rPr>
          <w:rFonts w:ascii="Palatino Linotype" w:hAnsi="Palatino Linotype"/>
        </w:rPr>
        <w:t>4.2</w:t>
      </w:r>
      <w:r>
        <w:rPr>
          <w:rFonts w:ascii="Palatino Linotype" w:hAnsi="Palatino Linotype"/>
        </w:rPr>
        <w:tab/>
      </w:r>
      <w:r>
        <w:rPr>
          <w:rFonts w:ascii="Palatino Linotype" w:hAnsi="Palatino Linotype"/>
        </w:rPr>
        <w:tab/>
        <w:t>The sheriff or justice will consider the application and the accompanying documents in open court and will determine whether or not he or she can dispose of the case on the papers in the absence of the accused.</w:t>
      </w:r>
    </w:p>
    <w:p w14:paraId="07B91F29" w14:textId="77777777" w:rsidR="002E1F3F" w:rsidRDefault="002E1F3F" w:rsidP="002E1F3F">
      <w:pPr>
        <w:ind w:left="360" w:right="521"/>
        <w:jc w:val="both"/>
        <w:rPr>
          <w:rFonts w:ascii="Palatino Linotype" w:hAnsi="Palatino Linotype"/>
        </w:rPr>
      </w:pPr>
    </w:p>
    <w:p w14:paraId="63ED2602" w14:textId="78EE1D0B" w:rsidR="002E1F3F" w:rsidRDefault="002E1F3F" w:rsidP="002E1F3F">
      <w:pPr>
        <w:ind w:left="360" w:right="521"/>
        <w:jc w:val="both"/>
        <w:rPr>
          <w:rFonts w:ascii="Palatino Linotype" w:hAnsi="Palatino Linotype"/>
        </w:rPr>
      </w:pPr>
      <w:r>
        <w:rPr>
          <w:rFonts w:ascii="Palatino Linotype" w:hAnsi="Palatino Linotype"/>
        </w:rPr>
        <w:t>4.3</w:t>
      </w:r>
      <w:r>
        <w:rPr>
          <w:rFonts w:ascii="Palatino Linotype" w:hAnsi="Palatino Linotype"/>
        </w:rPr>
        <w:tab/>
      </w:r>
      <w:r>
        <w:rPr>
          <w:rFonts w:ascii="Palatino Linotype" w:hAnsi="Palatino Linotype"/>
        </w:rPr>
        <w:tab/>
        <w:t xml:space="preserve">If the sheriff or justice determines that he or she can dispose of the case on the papers in the absence of the accused he or she will proceed to do so. </w:t>
      </w:r>
      <w:r w:rsidR="00CE5256">
        <w:rPr>
          <w:rFonts w:ascii="Palatino Linotype" w:hAnsi="Palatino Linotype"/>
        </w:rPr>
        <w:t xml:space="preserve"> T</w:t>
      </w:r>
      <w:r w:rsidR="00CE5256" w:rsidRPr="00CE5256">
        <w:rPr>
          <w:rFonts w:ascii="Palatino Linotype" w:hAnsi="Palatino Linotype"/>
        </w:rPr>
        <w:t xml:space="preserve">he court will proceed </w:t>
      </w:r>
      <w:r w:rsidR="00CE5256">
        <w:rPr>
          <w:rFonts w:ascii="Palatino Linotype" w:hAnsi="Palatino Linotype"/>
        </w:rPr>
        <w:t xml:space="preserve">to sentence </w:t>
      </w:r>
      <w:r w:rsidR="00CE5256" w:rsidRPr="00CE5256">
        <w:rPr>
          <w:rFonts w:ascii="Palatino Linotype" w:hAnsi="Palatino Linotype"/>
        </w:rPr>
        <w:t>on the basis that the summary of evidence is ag</w:t>
      </w:r>
      <w:r w:rsidR="00CE5256">
        <w:rPr>
          <w:rFonts w:ascii="Palatino Linotype" w:hAnsi="Palatino Linotype"/>
        </w:rPr>
        <w:t>reed.</w:t>
      </w:r>
    </w:p>
    <w:p w14:paraId="1BD80AD2" w14:textId="77777777" w:rsidR="002E1F3F" w:rsidRDefault="002E1F3F" w:rsidP="002E1F3F">
      <w:pPr>
        <w:ind w:left="360" w:right="521"/>
        <w:jc w:val="both"/>
        <w:rPr>
          <w:rFonts w:ascii="Palatino Linotype" w:hAnsi="Palatino Linotype"/>
        </w:rPr>
      </w:pPr>
    </w:p>
    <w:p w14:paraId="4A23E9F0" w14:textId="7F8F4AD5" w:rsidR="002E1F3F" w:rsidRDefault="002E1F3F" w:rsidP="002E1F3F">
      <w:pPr>
        <w:ind w:left="360" w:right="521"/>
        <w:jc w:val="both"/>
        <w:rPr>
          <w:rFonts w:ascii="Palatino Linotype" w:hAnsi="Palatino Linotype"/>
        </w:rPr>
      </w:pPr>
      <w:r>
        <w:rPr>
          <w:rFonts w:ascii="Palatino Linotype" w:hAnsi="Palatino Linotype"/>
        </w:rPr>
        <w:t>4.4</w:t>
      </w:r>
      <w:r>
        <w:rPr>
          <w:rFonts w:ascii="Palatino Linotype" w:hAnsi="Palatino Linotype"/>
        </w:rPr>
        <w:tab/>
      </w:r>
      <w:r>
        <w:rPr>
          <w:rFonts w:ascii="Palatino Linotype" w:hAnsi="Palatino Linotype"/>
        </w:rPr>
        <w:tab/>
        <w:t>The sheriff clerk shall notify</w:t>
      </w:r>
      <w:r w:rsidR="0000565C">
        <w:rPr>
          <w:rFonts w:ascii="Palatino Linotype" w:hAnsi="Palatino Linotype"/>
        </w:rPr>
        <w:t xml:space="preserve"> the disposal to</w:t>
      </w:r>
      <w:r>
        <w:rPr>
          <w:rFonts w:ascii="Palatino Linotype" w:hAnsi="Palatino Linotype"/>
        </w:rPr>
        <w:t xml:space="preserve"> the solicitor for the accused.</w:t>
      </w:r>
    </w:p>
    <w:p w14:paraId="5ED2793F" w14:textId="77777777" w:rsidR="002E1F3F" w:rsidRDefault="002E1F3F" w:rsidP="002E1F3F">
      <w:pPr>
        <w:ind w:left="360" w:right="521"/>
        <w:jc w:val="both"/>
        <w:rPr>
          <w:rFonts w:ascii="Palatino Linotype" w:hAnsi="Palatino Linotype"/>
          <w:b/>
        </w:rPr>
      </w:pPr>
      <w:r>
        <w:rPr>
          <w:rFonts w:ascii="Palatino Linotype" w:hAnsi="Palatino Linotype"/>
          <w:b/>
        </w:rPr>
        <w:lastRenderedPageBreak/>
        <w:t>Part 5.</w:t>
      </w:r>
      <w:r>
        <w:rPr>
          <w:rFonts w:ascii="Palatino Linotype" w:hAnsi="Palatino Linotype"/>
          <w:b/>
        </w:rPr>
        <w:tab/>
        <w:t>Procedure Where Proceedings Cannot Be Disposed Of On The Papers</w:t>
      </w:r>
    </w:p>
    <w:p w14:paraId="4B8256A7" w14:textId="77777777" w:rsidR="002E1F3F" w:rsidRDefault="002E1F3F" w:rsidP="002E1F3F">
      <w:pPr>
        <w:ind w:left="360" w:right="521"/>
        <w:jc w:val="both"/>
        <w:rPr>
          <w:rFonts w:ascii="Palatino Linotype" w:hAnsi="Palatino Linotype"/>
        </w:rPr>
      </w:pPr>
    </w:p>
    <w:p w14:paraId="62432CAB" w14:textId="77777777" w:rsidR="002E1F3F" w:rsidRDefault="002E1F3F" w:rsidP="002E1F3F">
      <w:pPr>
        <w:ind w:left="360" w:right="521"/>
        <w:jc w:val="both"/>
        <w:rPr>
          <w:rFonts w:ascii="Palatino Linotype" w:hAnsi="Palatino Linotype"/>
        </w:rPr>
      </w:pPr>
      <w:r>
        <w:rPr>
          <w:rFonts w:ascii="Palatino Linotype" w:hAnsi="Palatino Linotype"/>
        </w:rPr>
        <w:t>5.1</w:t>
      </w:r>
      <w:r>
        <w:rPr>
          <w:rFonts w:ascii="Palatino Linotype" w:hAnsi="Palatino Linotype"/>
        </w:rPr>
        <w:tab/>
      </w:r>
      <w:r>
        <w:rPr>
          <w:rFonts w:ascii="Palatino Linotype" w:hAnsi="Palatino Linotype"/>
        </w:rPr>
        <w:tab/>
        <w:t>If the sheriff or justice considers that he or she cannot dispose of the case on the papers in the absence of the accused he or she shall adjourn the case for sentence in terms of section 201 of the 1995 Act.</w:t>
      </w:r>
    </w:p>
    <w:p w14:paraId="46157A75" w14:textId="77777777" w:rsidR="002E1F3F" w:rsidRDefault="002E1F3F" w:rsidP="002E1F3F">
      <w:pPr>
        <w:ind w:left="360" w:right="521"/>
        <w:jc w:val="both"/>
        <w:rPr>
          <w:rFonts w:ascii="Palatino Linotype" w:hAnsi="Palatino Linotype"/>
        </w:rPr>
      </w:pPr>
    </w:p>
    <w:p w14:paraId="4107A848" w14:textId="0F4EB318" w:rsidR="002E1F3F" w:rsidRDefault="002E1F3F" w:rsidP="002E1F3F">
      <w:pPr>
        <w:ind w:left="360" w:right="521"/>
        <w:jc w:val="both"/>
        <w:rPr>
          <w:rFonts w:ascii="Palatino Linotype" w:hAnsi="Palatino Linotype"/>
        </w:rPr>
      </w:pPr>
      <w:r>
        <w:rPr>
          <w:rFonts w:ascii="Palatino Linotype" w:hAnsi="Palatino Linotype"/>
        </w:rPr>
        <w:t>5.2</w:t>
      </w:r>
      <w:r>
        <w:rPr>
          <w:rFonts w:ascii="Palatino Linotype" w:hAnsi="Palatino Linotype"/>
        </w:rPr>
        <w:tab/>
      </w:r>
      <w:r>
        <w:rPr>
          <w:rFonts w:ascii="Palatino Linotype" w:hAnsi="Palatino Linotype"/>
        </w:rPr>
        <w:tab/>
        <w:t xml:space="preserve">The sheriff clerk shall notify </w:t>
      </w:r>
      <w:r w:rsidR="0000565C">
        <w:rPr>
          <w:rFonts w:ascii="Palatino Linotype" w:hAnsi="Palatino Linotype"/>
        </w:rPr>
        <w:t xml:space="preserve">the date of the adjourned diet to </w:t>
      </w:r>
      <w:r>
        <w:rPr>
          <w:rFonts w:ascii="Palatino Linotype" w:hAnsi="Palatino Linotype"/>
        </w:rPr>
        <w:t>the prosecutor and the solicitor for the accused.</w:t>
      </w:r>
    </w:p>
    <w:p w14:paraId="5DCF9A76" w14:textId="77777777" w:rsidR="002E1F3F" w:rsidRDefault="002E1F3F" w:rsidP="002E1F3F">
      <w:pPr>
        <w:ind w:left="360" w:right="521"/>
        <w:jc w:val="both"/>
        <w:rPr>
          <w:rFonts w:ascii="Palatino Linotype" w:hAnsi="Palatino Linotype"/>
        </w:rPr>
      </w:pPr>
    </w:p>
    <w:p w14:paraId="00658593" w14:textId="77777777" w:rsidR="002E1F3F" w:rsidRDefault="002E1F3F" w:rsidP="002E1F3F">
      <w:pPr>
        <w:ind w:left="360" w:right="521"/>
        <w:jc w:val="both"/>
        <w:rPr>
          <w:rFonts w:ascii="Palatino Linotype" w:hAnsi="Palatino Linotype"/>
        </w:rPr>
      </w:pPr>
      <w:r>
        <w:rPr>
          <w:rFonts w:ascii="Palatino Linotype" w:hAnsi="Palatino Linotype"/>
        </w:rPr>
        <w:t>5.3</w:t>
      </w:r>
      <w:r>
        <w:rPr>
          <w:rFonts w:ascii="Palatino Linotype" w:hAnsi="Palatino Linotype"/>
        </w:rPr>
        <w:tab/>
      </w:r>
      <w:r>
        <w:rPr>
          <w:rFonts w:ascii="Palatino Linotype" w:hAnsi="Palatino Linotype"/>
        </w:rPr>
        <w:tab/>
        <w:t>Where the sheriff or justice adjourns the case in terms of paragraph 5.1 the accused shall appear personally at the adjourned diet. The solicitor for the accused shall, as soon as is reasonably practicable, advise the accused of the date of the adjourned diet and of the requirement that the accused appears personally at the adjourned diet.</w:t>
      </w:r>
    </w:p>
    <w:p w14:paraId="51C210AC" w14:textId="77777777" w:rsidR="002E1F3F" w:rsidRDefault="002E1F3F" w:rsidP="002E1F3F">
      <w:pPr>
        <w:ind w:left="360" w:right="521"/>
        <w:jc w:val="both"/>
        <w:rPr>
          <w:rFonts w:ascii="Palatino Linotype" w:hAnsi="Palatino Linotype"/>
        </w:rPr>
      </w:pPr>
    </w:p>
    <w:p w14:paraId="1D068023" w14:textId="77777777" w:rsidR="002E1F3F" w:rsidRDefault="002E1F3F" w:rsidP="002E1F3F">
      <w:pPr>
        <w:ind w:left="360" w:right="521"/>
        <w:jc w:val="both"/>
        <w:rPr>
          <w:rFonts w:ascii="Palatino Linotype" w:hAnsi="Palatino Linotype"/>
        </w:rPr>
      </w:pPr>
    </w:p>
    <w:p w14:paraId="071F9801" w14:textId="77777777" w:rsidR="006379C9" w:rsidRDefault="006379C9">
      <w:pPr>
        <w:spacing w:after="200" w:line="276" w:lineRule="auto"/>
        <w:rPr>
          <w:rFonts w:ascii="Palatino Linotype" w:hAnsi="Palatino Linotype"/>
          <w:b/>
        </w:rPr>
      </w:pPr>
      <w:r>
        <w:rPr>
          <w:rFonts w:ascii="Palatino Linotype" w:hAnsi="Palatino Linotype"/>
          <w:b/>
        </w:rPr>
        <w:br w:type="page"/>
      </w:r>
    </w:p>
    <w:p w14:paraId="15AD2233" w14:textId="77777777" w:rsidR="003142E9" w:rsidRPr="003142E9" w:rsidRDefault="003142E9" w:rsidP="003142E9">
      <w:pPr>
        <w:ind w:left="360" w:right="521"/>
        <w:jc w:val="both"/>
        <w:rPr>
          <w:rFonts w:ascii="Palatino Linotype" w:hAnsi="Palatino Linotype"/>
          <w:b/>
        </w:rPr>
      </w:pPr>
      <w:r w:rsidRPr="003142E9">
        <w:rPr>
          <w:rFonts w:ascii="Palatino Linotype" w:hAnsi="Palatino Linotype"/>
          <w:b/>
        </w:rPr>
        <w:lastRenderedPageBreak/>
        <w:t>Appendix 1</w:t>
      </w:r>
    </w:p>
    <w:p w14:paraId="216E12A1" w14:textId="4E61B274" w:rsidR="0051013B" w:rsidRPr="0051013B" w:rsidRDefault="0051013B" w:rsidP="0051013B">
      <w:pPr>
        <w:ind w:right="521"/>
        <w:jc w:val="both"/>
      </w:pPr>
    </w:p>
    <w:p w14:paraId="604CD662" w14:textId="77777777" w:rsidR="0051013B" w:rsidRPr="0051013B" w:rsidRDefault="0083606C" w:rsidP="0051013B">
      <w:pPr>
        <w:ind w:left="360" w:right="521"/>
        <w:jc w:val="both"/>
        <w:rPr>
          <w:rFonts w:ascii="Palatino Linotype" w:hAnsi="Palatino Linotype"/>
        </w:rPr>
      </w:pPr>
      <w:hyperlink r:id="rId8" w:history="1">
        <w:r w:rsidR="0051013B" w:rsidRPr="0051013B">
          <w:rPr>
            <w:rStyle w:val="Hyperlink"/>
            <w:rFonts w:ascii="Palatino Linotype" w:hAnsi="Palatino Linotype"/>
          </w:rPr>
          <w:t>GuiltyPleaGlasgow@scotcourts.gov.uk</w:t>
        </w:r>
      </w:hyperlink>
    </w:p>
    <w:p w14:paraId="7EC95406" w14:textId="77777777" w:rsidR="0051013B" w:rsidRPr="0051013B" w:rsidRDefault="0083606C" w:rsidP="0051013B">
      <w:pPr>
        <w:ind w:left="360" w:right="521"/>
        <w:jc w:val="both"/>
        <w:rPr>
          <w:rFonts w:ascii="Palatino Linotype" w:hAnsi="Palatino Linotype"/>
        </w:rPr>
      </w:pPr>
      <w:hyperlink r:id="rId9" w:history="1">
        <w:r w:rsidR="0051013B" w:rsidRPr="0051013B">
          <w:rPr>
            <w:rStyle w:val="Hyperlink"/>
            <w:rFonts w:ascii="Palatino Linotype" w:hAnsi="Palatino Linotype"/>
          </w:rPr>
          <w:t>GuiltyPleaInverness@scotcourts.gov.uk</w:t>
        </w:r>
      </w:hyperlink>
    </w:p>
    <w:p w14:paraId="0CA97600" w14:textId="77777777" w:rsidR="0051013B" w:rsidRPr="0051013B" w:rsidRDefault="0083606C" w:rsidP="0051013B">
      <w:pPr>
        <w:ind w:left="360" w:right="521"/>
        <w:jc w:val="both"/>
        <w:rPr>
          <w:rFonts w:ascii="Palatino Linotype" w:hAnsi="Palatino Linotype"/>
        </w:rPr>
      </w:pPr>
      <w:hyperlink r:id="rId10" w:history="1">
        <w:r w:rsidR="0051013B" w:rsidRPr="0051013B">
          <w:rPr>
            <w:rStyle w:val="Hyperlink"/>
            <w:rFonts w:ascii="Palatino Linotype" w:hAnsi="Palatino Linotype"/>
          </w:rPr>
          <w:t>GuiltyPleaAberdeen@scotcourts.gov.uk</w:t>
        </w:r>
      </w:hyperlink>
    </w:p>
    <w:p w14:paraId="5C208F60" w14:textId="77777777" w:rsidR="0051013B" w:rsidRPr="0051013B" w:rsidRDefault="0083606C" w:rsidP="0051013B">
      <w:pPr>
        <w:ind w:left="360" w:right="521"/>
        <w:jc w:val="both"/>
        <w:rPr>
          <w:rFonts w:ascii="Palatino Linotype" w:hAnsi="Palatino Linotype"/>
        </w:rPr>
      </w:pPr>
      <w:hyperlink r:id="rId11" w:history="1">
        <w:r w:rsidR="0051013B" w:rsidRPr="0051013B">
          <w:rPr>
            <w:rStyle w:val="Hyperlink"/>
            <w:rFonts w:ascii="Palatino Linotype" w:hAnsi="Palatino Linotype"/>
          </w:rPr>
          <w:t>GuiltyPleaDundee@scotcourts.gov.uk</w:t>
        </w:r>
      </w:hyperlink>
    </w:p>
    <w:p w14:paraId="68294A9C" w14:textId="77777777" w:rsidR="0051013B" w:rsidRPr="0051013B" w:rsidRDefault="0083606C" w:rsidP="0051013B">
      <w:pPr>
        <w:ind w:left="360" w:right="521"/>
        <w:jc w:val="both"/>
        <w:rPr>
          <w:rFonts w:ascii="Palatino Linotype" w:hAnsi="Palatino Linotype"/>
        </w:rPr>
      </w:pPr>
      <w:hyperlink r:id="rId12" w:history="1">
        <w:r w:rsidR="0051013B" w:rsidRPr="0051013B">
          <w:rPr>
            <w:rStyle w:val="Hyperlink"/>
            <w:rFonts w:ascii="Palatino Linotype" w:hAnsi="Palatino Linotype"/>
          </w:rPr>
          <w:t>GuiltyPleaFalkirk@scotcourts.gov.uk</w:t>
        </w:r>
      </w:hyperlink>
    </w:p>
    <w:p w14:paraId="132042BA" w14:textId="77777777" w:rsidR="0051013B" w:rsidRPr="0051013B" w:rsidRDefault="0083606C" w:rsidP="0051013B">
      <w:pPr>
        <w:ind w:left="360" w:right="521"/>
        <w:jc w:val="both"/>
        <w:rPr>
          <w:rFonts w:ascii="Palatino Linotype" w:hAnsi="Palatino Linotype"/>
        </w:rPr>
      </w:pPr>
      <w:hyperlink r:id="rId13" w:history="1">
        <w:r w:rsidR="0051013B" w:rsidRPr="0051013B">
          <w:rPr>
            <w:rStyle w:val="Hyperlink"/>
            <w:rFonts w:ascii="Palatino Linotype" w:hAnsi="Palatino Linotype"/>
          </w:rPr>
          <w:t>GuiltyPleaEdinburgh@scotcourts.gov.uk</w:t>
        </w:r>
      </w:hyperlink>
    </w:p>
    <w:p w14:paraId="57AC9D4E" w14:textId="77777777" w:rsidR="0051013B" w:rsidRPr="0051013B" w:rsidRDefault="0083606C" w:rsidP="0051013B">
      <w:pPr>
        <w:ind w:left="360" w:right="521"/>
        <w:jc w:val="both"/>
        <w:rPr>
          <w:rFonts w:ascii="Palatino Linotype" w:hAnsi="Palatino Linotype"/>
        </w:rPr>
      </w:pPr>
      <w:hyperlink r:id="rId14" w:history="1">
        <w:r w:rsidR="0051013B" w:rsidRPr="0051013B">
          <w:rPr>
            <w:rStyle w:val="Hyperlink"/>
            <w:rFonts w:ascii="Palatino Linotype" w:hAnsi="Palatino Linotype"/>
          </w:rPr>
          <w:t>GuiltyPleaHamilton@scotcourts.gov.uk</w:t>
        </w:r>
      </w:hyperlink>
    </w:p>
    <w:p w14:paraId="141B9AF8" w14:textId="77777777" w:rsidR="0051013B" w:rsidRPr="0051013B" w:rsidRDefault="0083606C" w:rsidP="0051013B">
      <w:pPr>
        <w:ind w:left="360" w:right="521"/>
        <w:jc w:val="both"/>
        <w:rPr>
          <w:rFonts w:ascii="Palatino Linotype" w:hAnsi="Palatino Linotype"/>
        </w:rPr>
      </w:pPr>
      <w:hyperlink r:id="rId15" w:history="1">
        <w:r w:rsidR="0051013B" w:rsidRPr="0051013B">
          <w:rPr>
            <w:rStyle w:val="Hyperlink"/>
            <w:rFonts w:ascii="Palatino Linotype" w:hAnsi="Palatino Linotype"/>
          </w:rPr>
          <w:t>GuiltyPleaDumfries@scotcourts.gov.uk</w:t>
        </w:r>
      </w:hyperlink>
    </w:p>
    <w:p w14:paraId="0214E993" w14:textId="77777777" w:rsidR="0051013B" w:rsidRPr="0051013B" w:rsidRDefault="0083606C" w:rsidP="0051013B">
      <w:pPr>
        <w:ind w:left="360" w:right="521"/>
        <w:jc w:val="both"/>
        <w:rPr>
          <w:rFonts w:ascii="Palatino Linotype" w:hAnsi="Palatino Linotype"/>
        </w:rPr>
      </w:pPr>
      <w:hyperlink r:id="rId16" w:history="1">
        <w:r w:rsidR="0051013B" w:rsidRPr="0051013B">
          <w:rPr>
            <w:rStyle w:val="Hyperlink"/>
            <w:rFonts w:ascii="Palatino Linotype" w:hAnsi="Palatino Linotype"/>
          </w:rPr>
          <w:t>GuiltyPleaPaisley@scotcourts.gov.uk</w:t>
        </w:r>
      </w:hyperlink>
    </w:p>
    <w:p w14:paraId="775158D5" w14:textId="77777777" w:rsidR="0051013B" w:rsidRPr="0051013B" w:rsidRDefault="0083606C" w:rsidP="0051013B">
      <w:pPr>
        <w:ind w:left="360" w:right="521"/>
        <w:jc w:val="both"/>
        <w:rPr>
          <w:rFonts w:ascii="Palatino Linotype" w:hAnsi="Palatino Linotype"/>
          <w:u w:val="single"/>
        </w:rPr>
      </w:pPr>
      <w:hyperlink r:id="rId17" w:history="1">
        <w:r w:rsidR="0051013B" w:rsidRPr="0051013B">
          <w:rPr>
            <w:rStyle w:val="Hyperlink"/>
            <w:rFonts w:ascii="Palatino Linotype" w:hAnsi="Palatino Linotype"/>
          </w:rPr>
          <w:t>GuiltyPleaKilmarnock@scotcourts.gov.uk</w:t>
        </w:r>
      </w:hyperlink>
    </w:p>
    <w:p w14:paraId="06C9D893" w14:textId="77777777" w:rsidR="0051013B" w:rsidRPr="0051013B" w:rsidRDefault="0051013B" w:rsidP="0051013B">
      <w:pPr>
        <w:ind w:left="360" w:right="521"/>
        <w:jc w:val="both"/>
      </w:pPr>
    </w:p>
    <w:p w14:paraId="17C23E88" w14:textId="77777777" w:rsidR="003142E9" w:rsidRDefault="003142E9" w:rsidP="002E1F3F">
      <w:pPr>
        <w:ind w:left="360" w:right="521"/>
        <w:jc w:val="both"/>
        <w:rPr>
          <w:rFonts w:ascii="Palatino Linotype" w:hAnsi="Palatino Linotype"/>
          <w:b/>
        </w:rPr>
      </w:pPr>
    </w:p>
    <w:p w14:paraId="2B315DB4" w14:textId="77777777" w:rsidR="002E258A" w:rsidRDefault="003142E9" w:rsidP="002E258A">
      <w:pPr>
        <w:ind w:left="360" w:right="521"/>
        <w:jc w:val="both"/>
        <w:rPr>
          <w:rFonts w:ascii="Palatino Linotype" w:hAnsi="Palatino Linotype"/>
          <w:b/>
        </w:rPr>
      </w:pPr>
      <w:r>
        <w:rPr>
          <w:rFonts w:ascii="Palatino Linotype" w:hAnsi="Palatino Linotype"/>
          <w:b/>
        </w:rPr>
        <w:br w:type="page"/>
      </w:r>
      <w:r w:rsidR="002E258A">
        <w:rPr>
          <w:rFonts w:ascii="Palatino Linotype" w:hAnsi="Palatino Linotype"/>
          <w:b/>
        </w:rPr>
        <w:lastRenderedPageBreak/>
        <w:t>Appendix 2</w:t>
      </w:r>
    </w:p>
    <w:p w14:paraId="1FE4908B" w14:textId="77777777" w:rsidR="002E258A" w:rsidRDefault="002E258A" w:rsidP="002E258A">
      <w:pPr>
        <w:jc w:val="right"/>
        <w:rPr>
          <w:rFonts w:ascii="Palatino Linotype" w:hAnsi="Palatino Linotype"/>
        </w:rPr>
      </w:pPr>
      <w:r>
        <w:rPr>
          <w:rFonts w:ascii="Palatino Linotype" w:hAnsi="Palatino Linotype"/>
        </w:rPr>
        <w:t>Court ref.no …………</w:t>
      </w:r>
    </w:p>
    <w:p w14:paraId="1E89E948" w14:textId="77777777" w:rsidR="002E258A" w:rsidRDefault="002E258A" w:rsidP="002E258A">
      <w:pPr>
        <w:jc w:val="center"/>
        <w:rPr>
          <w:rFonts w:ascii="Palatino Linotype" w:hAnsi="Palatino Linotype"/>
        </w:rPr>
      </w:pPr>
    </w:p>
    <w:p w14:paraId="2BC73F42" w14:textId="77777777" w:rsidR="002E258A" w:rsidRDefault="002E258A" w:rsidP="002E258A">
      <w:pPr>
        <w:jc w:val="center"/>
        <w:rPr>
          <w:rFonts w:ascii="Palatino Linotype" w:hAnsi="Palatino Linotype"/>
        </w:rPr>
      </w:pPr>
      <w:r>
        <w:rPr>
          <w:rFonts w:ascii="Palatino Linotype" w:hAnsi="Palatino Linotype"/>
        </w:rPr>
        <w:t xml:space="preserve">INFORMATION IN RELATION TO THE ACCUSED </w:t>
      </w:r>
    </w:p>
    <w:p w14:paraId="15D28120" w14:textId="77777777" w:rsidR="002E258A" w:rsidRDefault="002E258A" w:rsidP="002E258A">
      <w:pPr>
        <w:jc w:val="center"/>
        <w:rPr>
          <w:rFonts w:ascii="Palatino Linotype" w:hAnsi="Palatino Linotype"/>
        </w:rPr>
      </w:pPr>
      <w:r>
        <w:rPr>
          <w:rFonts w:ascii="Palatino Linotype" w:hAnsi="Palatino Linotype"/>
        </w:rPr>
        <w:t>PF V …………………………………</w:t>
      </w:r>
      <w:proofErr w:type="gramStart"/>
      <w:r>
        <w:rPr>
          <w:rFonts w:ascii="Palatino Linotype" w:hAnsi="Palatino Linotype"/>
        </w:rPr>
        <w:t>.(</w:t>
      </w:r>
      <w:proofErr w:type="gramEnd"/>
      <w:r>
        <w:rPr>
          <w:rFonts w:ascii="Palatino Linotype" w:hAnsi="Palatino Linotype"/>
        </w:rPr>
        <w:t>Insert name of accused)</w:t>
      </w:r>
    </w:p>
    <w:p w14:paraId="47B05A4D" w14:textId="6BAD5155" w:rsidR="002E258A" w:rsidRPr="002E258A" w:rsidRDefault="002E258A" w:rsidP="002E258A">
      <w:pPr>
        <w:jc w:val="both"/>
        <w:rPr>
          <w:rFonts w:ascii="Palatino Linotype" w:hAnsi="Palatino Linotype"/>
        </w:rPr>
      </w:pPr>
      <w:r>
        <w:rPr>
          <w:rFonts w:ascii="Palatino Linotype" w:hAnsi="Palatino Linotype"/>
        </w:rPr>
        <w:t xml:space="preserve">The accused </w:t>
      </w:r>
      <w:r w:rsidRPr="002E258A">
        <w:rPr>
          <w:rFonts w:ascii="Palatino Linotype" w:hAnsi="Palatino Linotype"/>
        </w:rPr>
        <w:t xml:space="preserve">confirms his/her plea of guilty to the charge as set out in the complaint (or the amended complaint as the case may be). </w:t>
      </w:r>
    </w:p>
    <w:p w14:paraId="53852638" w14:textId="77777777" w:rsidR="002E258A" w:rsidRDefault="002E258A" w:rsidP="002E258A">
      <w:pPr>
        <w:jc w:val="both"/>
        <w:rPr>
          <w:rFonts w:ascii="Palatino Linotype" w:hAnsi="Palatino Linotype"/>
        </w:rPr>
      </w:pPr>
      <w:r>
        <w:rPr>
          <w:rFonts w:ascii="Palatino Linotype" w:hAnsi="Palatino Linotype"/>
        </w:rPr>
        <w:t xml:space="preserve">MITIGATION </w:t>
      </w:r>
    </w:p>
    <w:p w14:paraId="361821EA" w14:textId="77777777" w:rsidR="002E258A" w:rsidRDefault="002E258A" w:rsidP="002E258A">
      <w:pPr>
        <w:jc w:val="both"/>
        <w:rPr>
          <w:rFonts w:ascii="Palatino Linotype" w:hAnsi="Palatino Linotype"/>
        </w:rPr>
      </w:pPr>
    </w:p>
    <w:p w14:paraId="56D9D33E" w14:textId="77777777" w:rsidR="002E258A" w:rsidRDefault="002E258A" w:rsidP="002E258A">
      <w:pPr>
        <w:jc w:val="both"/>
        <w:rPr>
          <w:rFonts w:ascii="Palatino Linotype" w:hAnsi="Palatino Linotype"/>
        </w:rPr>
      </w:pPr>
    </w:p>
    <w:p w14:paraId="7D89C511" w14:textId="77777777" w:rsidR="002E258A" w:rsidRDefault="002E258A" w:rsidP="002E258A">
      <w:pPr>
        <w:jc w:val="both"/>
        <w:rPr>
          <w:rFonts w:ascii="Palatino Linotype" w:hAnsi="Palatino Linotype"/>
        </w:rPr>
      </w:pPr>
    </w:p>
    <w:p w14:paraId="295A0B52" w14:textId="77777777" w:rsidR="002E258A" w:rsidRPr="002E258A" w:rsidRDefault="002E258A" w:rsidP="002E258A">
      <w:pPr>
        <w:jc w:val="both"/>
        <w:rPr>
          <w:rFonts w:ascii="Palatino Linotype" w:hAnsi="Palatino Linotype"/>
        </w:rPr>
      </w:pPr>
      <w:r w:rsidRPr="002E258A">
        <w:rPr>
          <w:rFonts w:ascii="Palatino Linotype" w:hAnsi="Palatino Linotype"/>
        </w:rPr>
        <w:t>FINANCIAL POS</w:t>
      </w:r>
      <w:r w:rsidRPr="002E258A">
        <w:rPr>
          <w:rFonts w:ascii="Palatino Linotype" w:hAnsi="Palatino Linotype"/>
          <w:b/>
        </w:rPr>
        <w:t>I</w:t>
      </w:r>
      <w:r w:rsidRPr="002E258A">
        <w:rPr>
          <w:rFonts w:ascii="Palatino Linotype" w:hAnsi="Palatino Linotype"/>
        </w:rPr>
        <w:t>TION OF THE ACCUSED</w:t>
      </w:r>
    </w:p>
    <w:p w14:paraId="7E712339" w14:textId="77777777" w:rsidR="002E258A" w:rsidRDefault="002E258A" w:rsidP="002E258A">
      <w:pPr>
        <w:jc w:val="both"/>
        <w:rPr>
          <w:rFonts w:ascii="Palatino Linotype" w:hAnsi="Palatino Linotype"/>
        </w:rPr>
      </w:pPr>
    </w:p>
    <w:p w14:paraId="55614B20" w14:textId="77777777" w:rsidR="002E258A" w:rsidRDefault="002E258A" w:rsidP="002E258A">
      <w:pPr>
        <w:jc w:val="both"/>
        <w:rPr>
          <w:rFonts w:ascii="Palatino Linotype" w:hAnsi="Palatino Linotype"/>
        </w:rPr>
      </w:pPr>
    </w:p>
    <w:p w14:paraId="108BE990" w14:textId="77777777" w:rsidR="002E258A" w:rsidRDefault="002E258A" w:rsidP="002E258A">
      <w:pPr>
        <w:jc w:val="both"/>
        <w:rPr>
          <w:rFonts w:ascii="Palatino Linotype" w:hAnsi="Palatino Linotype"/>
        </w:rPr>
      </w:pPr>
    </w:p>
    <w:p w14:paraId="628BF21B" w14:textId="73162522" w:rsidR="002E258A" w:rsidRPr="002E258A" w:rsidRDefault="002E258A" w:rsidP="002E258A">
      <w:pPr>
        <w:jc w:val="both"/>
        <w:rPr>
          <w:rFonts w:ascii="Palatino Linotype" w:hAnsi="Palatino Linotype"/>
          <w:b/>
        </w:rPr>
      </w:pPr>
      <w:r w:rsidRPr="002E258A">
        <w:rPr>
          <w:rFonts w:ascii="Palatino Linotype" w:hAnsi="Palatino Linotype"/>
        </w:rPr>
        <w:t>EMPLOYMENT POS</w:t>
      </w:r>
      <w:r w:rsidRPr="002E258A">
        <w:rPr>
          <w:rFonts w:ascii="Palatino Linotype" w:hAnsi="Palatino Linotype"/>
          <w:b/>
        </w:rPr>
        <w:t>I</w:t>
      </w:r>
      <w:r w:rsidRPr="002E258A">
        <w:rPr>
          <w:rFonts w:ascii="Palatino Linotype" w:hAnsi="Palatino Linotype"/>
        </w:rPr>
        <w:t xml:space="preserve">TION OF THE </w:t>
      </w:r>
      <w:r w:rsidRPr="002E258A">
        <w:rPr>
          <w:rFonts w:ascii="Palatino Linotype" w:hAnsi="Palatino Linotype"/>
          <w:b/>
        </w:rPr>
        <w:t>ACC</w:t>
      </w:r>
      <w:bookmarkStart w:id="0" w:name="_GoBack"/>
      <w:bookmarkEnd w:id="0"/>
      <w:r w:rsidRPr="002E258A">
        <w:rPr>
          <w:rFonts w:ascii="Palatino Linotype" w:hAnsi="Palatino Linotype"/>
          <w:b/>
        </w:rPr>
        <w:t>USED</w:t>
      </w:r>
    </w:p>
    <w:p w14:paraId="2DD3E9E0" w14:textId="77777777" w:rsidR="002E258A" w:rsidRDefault="002E258A" w:rsidP="002E258A">
      <w:pPr>
        <w:jc w:val="both"/>
        <w:rPr>
          <w:rFonts w:ascii="Palatino Linotype" w:hAnsi="Palatino Linotype"/>
        </w:rPr>
      </w:pPr>
    </w:p>
    <w:p w14:paraId="35BFF7B7" w14:textId="77777777" w:rsidR="002E258A" w:rsidRDefault="002E258A" w:rsidP="002E258A">
      <w:pPr>
        <w:jc w:val="both"/>
        <w:rPr>
          <w:rFonts w:ascii="Palatino Linotype" w:hAnsi="Palatino Linotype"/>
        </w:rPr>
      </w:pPr>
    </w:p>
    <w:p w14:paraId="208EE9F2" w14:textId="77777777" w:rsidR="002E258A" w:rsidRDefault="002E258A" w:rsidP="002E258A">
      <w:pPr>
        <w:jc w:val="both"/>
        <w:rPr>
          <w:rFonts w:ascii="Palatino Linotype" w:hAnsi="Palatino Linotype"/>
        </w:rPr>
      </w:pPr>
    </w:p>
    <w:p w14:paraId="25B1A0D0" w14:textId="77777777" w:rsidR="002E258A" w:rsidRDefault="002E258A" w:rsidP="002E258A">
      <w:pPr>
        <w:jc w:val="both"/>
        <w:rPr>
          <w:rFonts w:ascii="Palatino Linotype" w:hAnsi="Palatino Linotype"/>
        </w:rPr>
      </w:pPr>
      <w:r>
        <w:rPr>
          <w:rFonts w:ascii="Palatino Linotype" w:hAnsi="Palatino Linotype"/>
        </w:rPr>
        <w:t xml:space="preserve">DOMESTIC CIRCUMSTANCES OF THE ACCUSED </w:t>
      </w:r>
    </w:p>
    <w:p w14:paraId="2A73125F" w14:textId="77777777" w:rsidR="002E258A" w:rsidRDefault="002E258A" w:rsidP="002E258A">
      <w:pPr>
        <w:jc w:val="both"/>
        <w:rPr>
          <w:rFonts w:ascii="Palatino Linotype" w:hAnsi="Palatino Linotype"/>
        </w:rPr>
      </w:pPr>
    </w:p>
    <w:p w14:paraId="1B9492F1" w14:textId="77777777" w:rsidR="002E258A" w:rsidRPr="002E258A" w:rsidRDefault="002E258A" w:rsidP="002E258A">
      <w:pPr>
        <w:jc w:val="both"/>
        <w:rPr>
          <w:rFonts w:ascii="Palatino Linotype" w:hAnsi="Palatino Linotype"/>
        </w:rPr>
      </w:pPr>
    </w:p>
    <w:p w14:paraId="2DD5E585" w14:textId="77777777" w:rsidR="002E258A" w:rsidRDefault="002E258A" w:rsidP="002E258A">
      <w:pPr>
        <w:jc w:val="both"/>
        <w:rPr>
          <w:rFonts w:ascii="Palatino Linotype" w:hAnsi="Palatino Linotype"/>
        </w:rPr>
      </w:pPr>
      <w:r w:rsidRPr="002E258A">
        <w:rPr>
          <w:rFonts w:ascii="Palatino Linotype" w:hAnsi="Palatino Linotype"/>
        </w:rPr>
        <w:t>ANY RELEVANT HEALTH ISSUES PERTAIN</w:t>
      </w:r>
      <w:r w:rsidRPr="002E258A">
        <w:rPr>
          <w:rFonts w:ascii="Palatino Linotype" w:hAnsi="Palatino Linotype"/>
          <w:b/>
        </w:rPr>
        <w:t>IN</w:t>
      </w:r>
      <w:r w:rsidRPr="002E258A">
        <w:rPr>
          <w:rFonts w:ascii="Palatino Linotype" w:hAnsi="Palatino Linotype"/>
        </w:rPr>
        <w:t xml:space="preserve">G TO </w:t>
      </w:r>
      <w:r>
        <w:rPr>
          <w:rFonts w:ascii="Palatino Linotype" w:hAnsi="Palatino Linotype"/>
        </w:rPr>
        <w:t xml:space="preserve">THE ACCUSED </w:t>
      </w:r>
    </w:p>
    <w:p w14:paraId="01D2DB1D" w14:textId="77777777" w:rsidR="002E258A" w:rsidRDefault="002E258A" w:rsidP="002E258A">
      <w:pPr>
        <w:jc w:val="both"/>
        <w:rPr>
          <w:rFonts w:ascii="Palatino Linotype" w:hAnsi="Palatino Linotype"/>
        </w:rPr>
      </w:pPr>
    </w:p>
    <w:p w14:paraId="112C9911" w14:textId="77777777" w:rsidR="002E258A" w:rsidRDefault="002E258A" w:rsidP="002E258A">
      <w:pPr>
        <w:jc w:val="both"/>
        <w:rPr>
          <w:rFonts w:ascii="Palatino Linotype" w:hAnsi="Palatino Linotype"/>
        </w:rPr>
      </w:pPr>
    </w:p>
    <w:p w14:paraId="76F8D720" w14:textId="77777777" w:rsidR="002E258A" w:rsidRDefault="002E258A" w:rsidP="002E258A">
      <w:pPr>
        <w:jc w:val="both"/>
        <w:rPr>
          <w:rFonts w:ascii="Palatino Linotype" w:hAnsi="Palatino Linotype"/>
        </w:rPr>
      </w:pPr>
    </w:p>
    <w:p w14:paraId="4361CF13" w14:textId="77777777" w:rsidR="002E258A" w:rsidRDefault="002E258A" w:rsidP="002E258A">
      <w:pPr>
        <w:jc w:val="both"/>
        <w:rPr>
          <w:rFonts w:ascii="Palatino Linotype" w:hAnsi="Palatino Linotype"/>
        </w:rPr>
      </w:pPr>
      <w:r>
        <w:rPr>
          <w:rFonts w:ascii="Palatino Linotype" w:hAnsi="Palatino Linotype"/>
        </w:rPr>
        <w:t xml:space="preserve">FINANCIAL CIRCUMSTANCES OF THE ACCUSED  </w:t>
      </w:r>
    </w:p>
    <w:p w14:paraId="1A51EDD6" w14:textId="77777777" w:rsidR="002E258A" w:rsidRDefault="002E258A" w:rsidP="002E258A">
      <w:pPr>
        <w:jc w:val="both"/>
        <w:rPr>
          <w:rFonts w:ascii="Palatino Linotype" w:hAnsi="Palatino Linotype"/>
        </w:rPr>
      </w:pPr>
      <w:r>
        <w:rPr>
          <w:rFonts w:ascii="Palatino Linotype" w:hAnsi="Palatino Linotype"/>
        </w:rPr>
        <w:t xml:space="preserve">Weekly net income from all sources (specify as necessary); </w:t>
      </w:r>
    </w:p>
    <w:p w14:paraId="541DEDBA" w14:textId="77777777" w:rsidR="002E258A" w:rsidRDefault="002E258A" w:rsidP="002E258A">
      <w:pPr>
        <w:jc w:val="both"/>
        <w:rPr>
          <w:rFonts w:ascii="Palatino Linotype" w:hAnsi="Palatino Linotype"/>
        </w:rPr>
      </w:pPr>
      <w:r>
        <w:rPr>
          <w:rFonts w:ascii="Palatino Linotype" w:hAnsi="Palatino Linotype"/>
        </w:rPr>
        <w:t>Weekly outgoings (specify as necessary)</w:t>
      </w:r>
    </w:p>
    <w:p w14:paraId="1B35E13F" w14:textId="77777777" w:rsidR="002E258A" w:rsidRDefault="002E258A" w:rsidP="002E258A">
      <w:pPr>
        <w:jc w:val="both"/>
        <w:rPr>
          <w:rFonts w:ascii="Palatino Linotype" w:hAnsi="Palatino Linotype"/>
        </w:rPr>
      </w:pPr>
      <w:r>
        <w:rPr>
          <w:rFonts w:ascii="Palatino Linotype" w:hAnsi="Palatino Linotype"/>
        </w:rPr>
        <w:t xml:space="preserve">Savings </w:t>
      </w:r>
    </w:p>
    <w:p w14:paraId="7D0EFE35" w14:textId="77777777" w:rsidR="002E258A" w:rsidRDefault="002E258A" w:rsidP="002E258A">
      <w:pPr>
        <w:jc w:val="both"/>
        <w:rPr>
          <w:rFonts w:ascii="Palatino Linotype" w:hAnsi="Palatino Linotype"/>
        </w:rPr>
      </w:pPr>
    </w:p>
    <w:p w14:paraId="433B2CAB" w14:textId="77777777" w:rsidR="002E258A" w:rsidRPr="002E258A" w:rsidRDefault="002E258A" w:rsidP="002E258A">
      <w:pPr>
        <w:jc w:val="both"/>
        <w:rPr>
          <w:rFonts w:ascii="Palatino Linotype" w:hAnsi="Palatino Linotype"/>
        </w:rPr>
      </w:pPr>
      <w:r w:rsidRPr="002E258A">
        <w:rPr>
          <w:rFonts w:ascii="Palatino Linotype" w:hAnsi="Palatino Linotype"/>
        </w:rPr>
        <w:t>Instalment payments towards a fine which the accused would propose /</w:t>
      </w:r>
    </w:p>
    <w:p w14:paraId="502D67DF" w14:textId="77777777" w:rsidR="002E258A" w:rsidRPr="002E258A" w:rsidRDefault="002E258A" w:rsidP="002E258A">
      <w:pPr>
        <w:jc w:val="both"/>
        <w:rPr>
          <w:rFonts w:ascii="Palatino Linotype" w:hAnsi="Palatino Linotype"/>
        </w:rPr>
      </w:pPr>
      <w:proofErr w:type="gramStart"/>
      <w:r w:rsidRPr="002E258A">
        <w:rPr>
          <w:rFonts w:ascii="Palatino Linotype" w:hAnsi="Palatino Linotype"/>
        </w:rPr>
        <w:t>accused</w:t>
      </w:r>
      <w:proofErr w:type="gramEnd"/>
      <w:r w:rsidRPr="002E258A">
        <w:rPr>
          <w:rFonts w:ascii="Palatino Linotype" w:hAnsi="Palatino Linotype"/>
        </w:rPr>
        <w:t xml:space="preserve"> is able to pay a fine as a lump sum within 28 days </w:t>
      </w:r>
    </w:p>
    <w:p w14:paraId="78F6C859" w14:textId="77777777" w:rsidR="002E258A" w:rsidRPr="002E258A" w:rsidRDefault="002E258A" w:rsidP="002E258A">
      <w:pPr>
        <w:jc w:val="both"/>
        <w:rPr>
          <w:rFonts w:ascii="Palatino Linotype" w:hAnsi="Palatino Linotype"/>
        </w:rPr>
      </w:pPr>
    </w:p>
    <w:p w14:paraId="2E710594" w14:textId="195BEAF1" w:rsidR="002E258A" w:rsidRPr="002E258A" w:rsidRDefault="002E258A" w:rsidP="002E258A">
      <w:pPr>
        <w:jc w:val="both"/>
        <w:rPr>
          <w:rFonts w:ascii="Palatino Linotype" w:hAnsi="Palatino Linotype"/>
        </w:rPr>
      </w:pPr>
      <w:r w:rsidRPr="002E258A">
        <w:rPr>
          <w:rFonts w:ascii="Palatino Linotype" w:hAnsi="Palatino Linotype"/>
        </w:rPr>
        <w:t xml:space="preserve">FOR ROAD TRAFFIC OFFENCES WHERE DISQUALIFICATION AND / OR PENALTY </w:t>
      </w:r>
      <w:r w:rsidRPr="002E258A">
        <w:rPr>
          <w:rFonts w:ascii="Palatino Linotype" w:hAnsi="Palatino Linotype"/>
          <w:b/>
        </w:rPr>
        <w:t xml:space="preserve">POINTS </w:t>
      </w:r>
      <w:r w:rsidRPr="002E258A">
        <w:rPr>
          <w:rFonts w:ascii="Palatino Linotype" w:hAnsi="Palatino Linotype"/>
        </w:rPr>
        <w:t>MAY BE IMPOSED</w:t>
      </w:r>
    </w:p>
    <w:p w14:paraId="40EFD35C" w14:textId="77777777" w:rsidR="002E258A" w:rsidRDefault="002E258A" w:rsidP="002E258A">
      <w:pPr>
        <w:jc w:val="both"/>
        <w:rPr>
          <w:rFonts w:ascii="Palatino Linotype" w:hAnsi="Palatino Linotype"/>
        </w:rPr>
      </w:pPr>
    </w:p>
    <w:p w14:paraId="4B8C4D08" w14:textId="77777777" w:rsidR="002E258A" w:rsidRDefault="002E258A" w:rsidP="002E258A">
      <w:pPr>
        <w:jc w:val="both"/>
        <w:rPr>
          <w:rFonts w:ascii="Palatino Linotype" w:hAnsi="Palatino Linotype"/>
        </w:rPr>
      </w:pPr>
      <w:r>
        <w:rPr>
          <w:rFonts w:ascii="Palatino Linotype" w:hAnsi="Palatino Linotype"/>
        </w:rPr>
        <w:t>Confirmation that the accused has been advised that he or she should not drive on the date of the hearing pending confirmation to him or her of the penalty imposed by the court.</w:t>
      </w:r>
    </w:p>
    <w:p w14:paraId="6074193A" w14:textId="77777777" w:rsidR="002E258A" w:rsidRDefault="002E258A" w:rsidP="002E258A">
      <w:pPr>
        <w:jc w:val="both"/>
        <w:rPr>
          <w:rFonts w:ascii="Palatino Linotype" w:hAnsi="Palatino Linotype"/>
        </w:rPr>
      </w:pPr>
    </w:p>
    <w:p w14:paraId="60F8A06F" w14:textId="77777777" w:rsidR="002E258A" w:rsidRDefault="002E258A" w:rsidP="002E258A">
      <w:pPr>
        <w:jc w:val="both"/>
        <w:rPr>
          <w:rFonts w:ascii="Palatino Linotype" w:hAnsi="Palatino Linotype"/>
        </w:rPr>
      </w:pPr>
      <w:r>
        <w:rPr>
          <w:rFonts w:ascii="Palatino Linotype" w:hAnsi="Palatino Linotype"/>
        </w:rPr>
        <w:t>ANY OTHER RELEVANT CIRCUMSTANCES OF THE ACCUSED</w:t>
      </w:r>
    </w:p>
    <w:p w14:paraId="3D2F9E69" w14:textId="77777777" w:rsidR="002E258A" w:rsidRDefault="002E258A" w:rsidP="002E258A">
      <w:pPr>
        <w:jc w:val="both"/>
        <w:rPr>
          <w:rFonts w:ascii="Palatino Linotype" w:hAnsi="Palatino Linotype"/>
        </w:rPr>
      </w:pPr>
    </w:p>
    <w:p w14:paraId="66DD050C" w14:textId="77777777" w:rsidR="002E258A" w:rsidRDefault="002E258A" w:rsidP="002E258A">
      <w:pPr>
        <w:jc w:val="both"/>
        <w:rPr>
          <w:rFonts w:ascii="Palatino Linotype" w:hAnsi="Palatino Linotype"/>
        </w:rPr>
      </w:pPr>
      <w:r>
        <w:rPr>
          <w:rFonts w:ascii="Palatino Linotype" w:hAnsi="Palatino Linotype"/>
        </w:rPr>
        <w:t>CONTACT DETAILS FOR ACCUSED</w:t>
      </w:r>
    </w:p>
    <w:p w14:paraId="48179492" w14:textId="77777777" w:rsidR="002E258A" w:rsidRDefault="002E258A" w:rsidP="002E258A">
      <w:pPr>
        <w:jc w:val="both"/>
        <w:rPr>
          <w:rFonts w:ascii="Palatino Linotype" w:hAnsi="Palatino Linotype"/>
        </w:rPr>
      </w:pPr>
    </w:p>
    <w:p w14:paraId="4BAB7E81" w14:textId="77777777" w:rsidR="002E258A" w:rsidRDefault="002E258A" w:rsidP="002E258A">
      <w:pPr>
        <w:jc w:val="both"/>
        <w:rPr>
          <w:rFonts w:ascii="Palatino Linotype" w:hAnsi="Palatino Linotype"/>
        </w:rPr>
      </w:pPr>
      <w:r>
        <w:rPr>
          <w:rFonts w:ascii="Palatino Linotype" w:hAnsi="Palatino Linotype"/>
        </w:rPr>
        <w:t>Current address and contact phone number(s)</w:t>
      </w:r>
    </w:p>
    <w:p w14:paraId="0D20F00F" w14:textId="77777777" w:rsidR="002E258A" w:rsidRDefault="002E258A" w:rsidP="002E258A">
      <w:pPr>
        <w:jc w:val="both"/>
        <w:rPr>
          <w:rFonts w:ascii="Palatino Linotype" w:hAnsi="Palatino Linotype"/>
        </w:rPr>
      </w:pPr>
    </w:p>
    <w:p w14:paraId="43A63715" w14:textId="77777777" w:rsidR="002E258A" w:rsidRDefault="002E258A" w:rsidP="002E258A">
      <w:pPr>
        <w:jc w:val="both"/>
        <w:rPr>
          <w:rFonts w:ascii="Palatino Linotype" w:hAnsi="Palatino Linotype"/>
        </w:rPr>
      </w:pPr>
    </w:p>
    <w:p w14:paraId="5A9BECFB" w14:textId="77777777" w:rsidR="002E258A" w:rsidRDefault="002E258A" w:rsidP="002E258A">
      <w:pPr>
        <w:jc w:val="both"/>
        <w:rPr>
          <w:rFonts w:ascii="Palatino Linotype" w:hAnsi="Palatino Linotype"/>
        </w:rPr>
      </w:pPr>
      <w:r>
        <w:rPr>
          <w:rFonts w:ascii="Palatino Linotype" w:hAnsi="Palatino Linotype"/>
        </w:rPr>
        <w:t>Date (insert date)</w:t>
      </w:r>
    </w:p>
    <w:p w14:paraId="2ADF368C" w14:textId="77777777" w:rsidR="002E258A" w:rsidRDefault="002E258A" w:rsidP="002E258A">
      <w:pPr>
        <w:jc w:val="both"/>
        <w:rPr>
          <w:rFonts w:ascii="Palatino Linotype" w:hAnsi="Palatino Linotype"/>
        </w:rPr>
      </w:pPr>
    </w:p>
    <w:p w14:paraId="503C58C6" w14:textId="77777777" w:rsidR="002E258A" w:rsidRDefault="002E258A" w:rsidP="002E258A">
      <w:pPr>
        <w:ind w:left="5670"/>
        <w:jc w:val="both"/>
        <w:rPr>
          <w:rFonts w:ascii="Palatino Linotype" w:hAnsi="Palatino Linotype"/>
        </w:rPr>
      </w:pPr>
      <w:r>
        <w:rPr>
          <w:rFonts w:ascii="Palatino Linotype" w:hAnsi="Palatino Linotype"/>
        </w:rPr>
        <w:t>(Signed electronically) …………….</w:t>
      </w:r>
    </w:p>
    <w:p w14:paraId="36267B72" w14:textId="77777777" w:rsidR="002E258A" w:rsidRDefault="002E258A" w:rsidP="002E258A">
      <w:pPr>
        <w:ind w:left="5670"/>
        <w:jc w:val="both"/>
        <w:rPr>
          <w:rFonts w:ascii="Palatino Linotype" w:hAnsi="Palatino Linotype"/>
        </w:rPr>
      </w:pPr>
      <w:r>
        <w:rPr>
          <w:rFonts w:ascii="Palatino Linotype" w:hAnsi="Palatino Linotype"/>
        </w:rPr>
        <w:t xml:space="preserve">Solicitor for Accused </w:t>
      </w:r>
    </w:p>
    <w:p w14:paraId="7D5AA43E" w14:textId="77777777" w:rsidR="002E258A" w:rsidRDefault="002E258A" w:rsidP="002E258A">
      <w:pPr>
        <w:ind w:left="5670"/>
        <w:jc w:val="both"/>
      </w:pPr>
      <w:r>
        <w:rPr>
          <w:rFonts w:ascii="Palatino Linotype" w:hAnsi="Palatino Linotype"/>
        </w:rPr>
        <w:t>(</w:t>
      </w:r>
      <w:proofErr w:type="gramStart"/>
      <w:r>
        <w:rPr>
          <w:rFonts w:ascii="Palatino Linotype" w:hAnsi="Palatino Linotype"/>
        </w:rPr>
        <w:t>insert</w:t>
      </w:r>
      <w:proofErr w:type="gramEnd"/>
      <w:r>
        <w:rPr>
          <w:rFonts w:ascii="Palatino Linotype" w:hAnsi="Palatino Linotype"/>
        </w:rPr>
        <w:t xml:space="preserve"> full name designation and business address)</w:t>
      </w:r>
    </w:p>
    <w:p w14:paraId="332E2259" w14:textId="77777777" w:rsidR="003142E9" w:rsidRDefault="003142E9">
      <w:pPr>
        <w:spacing w:after="200" w:line="276" w:lineRule="auto"/>
        <w:rPr>
          <w:rFonts w:ascii="Palatino Linotype" w:hAnsi="Palatino Linotype"/>
          <w:b/>
        </w:rPr>
      </w:pPr>
    </w:p>
    <w:sectPr w:rsidR="003142E9">
      <w:headerReference w:type="even" r:id="rId18"/>
      <w:head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0CDBE" w14:textId="77777777" w:rsidR="00DC7887" w:rsidRDefault="00DC7887" w:rsidP="00DC7887">
      <w:pPr>
        <w:spacing w:after="0" w:line="240" w:lineRule="auto"/>
      </w:pPr>
      <w:r>
        <w:separator/>
      </w:r>
    </w:p>
  </w:endnote>
  <w:endnote w:type="continuationSeparator" w:id="0">
    <w:p w14:paraId="186522E7" w14:textId="77777777" w:rsidR="00DC7887" w:rsidRDefault="00DC7887" w:rsidP="00DC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877D" w14:textId="77777777" w:rsidR="00DC7887" w:rsidRDefault="00DC7887" w:rsidP="00DC7887">
      <w:pPr>
        <w:spacing w:after="0" w:line="240" w:lineRule="auto"/>
      </w:pPr>
      <w:r>
        <w:separator/>
      </w:r>
    </w:p>
  </w:footnote>
  <w:footnote w:type="continuationSeparator" w:id="0">
    <w:p w14:paraId="633F9400" w14:textId="77777777" w:rsidR="00DC7887" w:rsidRDefault="00DC7887" w:rsidP="00DC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A04C" w14:textId="1E79BABF" w:rsidR="00DC7887" w:rsidRDefault="00DC7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E80A" w14:textId="3EFDFCD7" w:rsidR="00DC7887" w:rsidRDefault="00DC7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774C" w14:textId="42AA688D" w:rsidR="00DC7887" w:rsidRDefault="00DC7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C0F"/>
    <w:multiLevelType w:val="hybridMultilevel"/>
    <w:tmpl w:val="901E77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3F"/>
    <w:rsid w:val="0000565C"/>
    <w:rsid w:val="00012FF6"/>
    <w:rsid w:val="000214B0"/>
    <w:rsid w:val="000A5693"/>
    <w:rsid w:val="000C0023"/>
    <w:rsid w:val="000F54F1"/>
    <w:rsid w:val="0021491C"/>
    <w:rsid w:val="002675BA"/>
    <w:rsid w:val="002B6F72"/>
    <w:rsid w:val="002E1F3F"/>
    <w:rsid w:val="002E258A"/>
    <w:rsid w:val="003142E9"/>
    <w:rsid w:val="0048233E"/>
    <w:rsid w:val="0051013B"/>
    <w:rsid w:val="0051401C"/>
    <w:rsid w:val="005220E7"/>
    <w:rsid w:val="005865D3"/>
    <w:rsid w:val="005A5E5D"/>
    <w:rsid w:val="006379C9"/>
    <w:rsid w:val="006E5A7C"/>
    <w:rsid w:val="0076725F"/>
    <w:rsid w:val="007A3FDD"/>
    <w:rsid w:val="0083606C"/>
    <w:rsid w:val="00884F4C"/>
    <w:rsid w:val="00904C47"/>
    <w:rsid w:val="00912081"/>
    <w:rsid w:val="00920BA2"/>
    <w:rsid w:val="00985A37"/>
    <w:rsid w:val="009C1464"/>
    <w:rsid w:val="00BA6420"/>
    <w:rsid w:val="00C071C7"/>
    <w:rsid w:val="00C76486"/>
    <w:rsid w:val="00CE5256"/>
    <w:rsid w:val="00DC7887"/>
    <w:rsid w:val="00F01837"/>
    <w:rsid w:val="00F1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D0AED9"/>
  <w15:docId w15:val="{D1FCF1F2-E250-4A8D-AAB2-2961C2FF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3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3F"/>
    <w:rPr>
      <w:color w:val="0000FF" w:themeColor="hyperlink"/>
      <w:u w:val="single"/>
    </w:rPr>
  </w:style>
  <w:style w:type="paragraph" w:styleId="CommentText">
    <w:name w:val="annotation text"/>
    <w:basedOn w:val="Normal"/>
    <w:link w:val="CommentTextChar"/>
    <w:uiPriority w:val="99"/>
    <w:semiHidden/>
    <w:unhideWhenUsed/>
    <w:rsid w:val="002E1F3F"/>
    <w:pPr>
      <w:spacing w:line="240" w:lineRule="auto"/>
    </w:pPr>
    <w:rPr>
      <w:sz w:val="20"/>
      <w:szCs w:val="20"/>
    </w:rPr>
  </w:style>
  <w:style w:type="character" w:customStyle="1" w:styleId="CommentTextChar">
    <w:name w:val="Comment Text Char"/>
    <w:basedOn w:val="DefaultParagraphFont"/>
    <w:link w:val="CommentText"/>
    <w:uiPriority w:val="99"/>
    <w:semiHidden/>
    <w:rsid w:val="002E1F3F"/>
    <w:rPr>
      <w:sz w:val="20"/>
      <w:szCs w:val="20"/>
    </w:rPr>
  </w:style>
  <w:style w:type="paragraph" w:styleId="ListParagraph">
    <w:name w:val="List Paragraph"/>
    <w:basedOn w:val="Normal"/>
    <w:uiPriority w:val="34"/>
    <w:qFormat/>
    <w:rsid w:val="002E1F3F"/>
    <w:pPr>
      <w:ind w:left="720"/>
      <w:contextualSpacing/>
    </w:pPr>
  </w:style>
  <w:style w:type="character" w:styleId="CommentReference">
    <w:name w:val="annotation reference"/>
    <w:basedOn w:val="DefaultParagraphFont"/>
    <w:uiPriority w:val="99"/>
    <w:semiHidden/>
    <w:unhideWhenUsed/>
    <w:rsid w:val="002E1F3F"/>
    <w:rPr>
      <w:sz w:val="16"/>
      <w:szCs w:val="16"/>
    </w:rPr>
  </w:style>
  <w:style w:type="paragraph" w:styleId="BalloonText">
    <w:name w:val="Balloon Text"/>
    <w:basedOn w:val="Normal"/>
    <w:link w:val="BalloonTextChar"/>
    <w:uiPriority w:val="99"/>
    <w:semiHidden/>
    <w:unhideWhenUsed/>
    <w:rsid w:val="002E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1F3F"/>
    <w:rPr>
      <w:b/>
      <w:bCs/>
    </w:rPr>
  </w:style>
  <w:style w:type="character" w:customStyle="1" w:styleId="CommentSubjectChar">
    <w:name w:val="Comment Subject Char"/>
    <w:basedOn w:val="CommentTextChar"/>
    <w:link w:val="CommentSubject"/>
    <w:uiPriority w:val="99"/>
    <w:semiHidden/>
    <w:rsid w:val="002E1F3F"/>
    <w:rPr>
      <w:b/>
      <w:bCs/>
      <w:sz w:val="20"/>
      <w:szCs w:val="20"/>
    </w:rPr>
  </w:style>
  <w:style w:type="paragraph" w:styleId="Header">
    <w:name w:val="header"/>
    <w:basedOn w:val="Normal"/>
    <w:link w:val="HeaderChar"/>
    <w:uiPriority w:val="99"/>
    <w:unhideWhenUsed/>
    <w:rsid w:val="00DC7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887"/>
  </w:style>
  <w:style w:type="paragraph" w:styleId="Footer">
    <w:name w:val="footer"/>
    <w:basedOn w:val="Normal"/>
    <w:link w:val="FooterChar"/>
    <w:uiPriority w:val="99"/>
    <w:unhideWhenUsed/>
    <w:rsid w:val="00DC7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9354">
      <w:bodyDiv w:val="1"/>
      <w:marLeft w:val="0"/>
      <w:marRight w:val="0"/>
      <w:marTop w:val="0"/>
      <w:marBottom w:val="0"/>
      <w:divBdr>
        <w:top w:val="none" w:sz="0" w:space="0" w:color="auto"/>
        <w:left w:val="none" w:sz="0" w:space="0" w:color="auto"/>
        <w:bottom w:val="none" w:sz="0" w:space="0" w:color="auto"/>
        <w:right w:val="none" w:sz="0" w:space="0" w:color="auto"/>
      </w:divBdr>
    </w:div>
    <w:div w:id="7163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tyPleaGlasgow@scotcourts.gov.uk" TargetMode="External"/><Relationship Id="rId13" Type="http://schemas.openxmlformats.org/officeDocument/2006/relationships/hyperlink" Target="mailto:GuiltyPleaEdinburgh@scotcourts.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uiltyPleaFalkirk@scotcourts.gov.uk" TargetMode="External"/><Relationship Id="rId17" Type="http://schemas.openxmlformats.org/officeDocument/2006/relationships/hyperlink" Target="mailto:GuiltyPleaKilmarnock@scotcourts.gov.uk" TargetMode="External"/><Relationship Id="rId2" Type="http://schemas.openxmlformats.org/officeDocument/2006/relationships/numbering" Target="numbering.xml"/><Relationship Id="rId16" Type="http://schemas.openxmlformats.org/officeDocument/2006/relationships/hyperlink" Target="mailto:GuiltyPleaPaisley@scotcourts.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ltyPleaDundee@scotcourts.gov.uk" TargetMode="External"/><Relationship Id="rId5" Type="http://schemas.openxmlformats.org/officeDocument/2006/relationships/webSettings" Target="webSettings.xml"/><Relationship Id="rId15" Type="http://schemas.openxmlformats.org/officeDocument/2006/relationships/hyperlink" Target="mailto:GuiltyPleaDumfries@scotcourts.gov.uk" TargetMode="External"/><Relationship Id="rId10" Type="http://schemas.openxmlformats.org/officeDocument/2006/relationships/hyperlink" Target="mailto:GuiltyPleaAberdeen@scotcourts.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uiltyPleaInverness@scotcourts.gov.uk" TargetMode="External"/><Relationship Id="rId14" Type="http://schemas.openxmlformats.org/officeDocument/2006/relationships/hyperlink" Target="mailto:GuiltyPleaHamilton@scotcourt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47C9-372C-434D-9411-591EF47F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1324</Words>
  <Characters>7549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sheriffp.dpyle</dc:creator>
  <cp:lastModifiedBy>Whiteford, Susan</cp:lastModifiedBy>
  <cp:revision>2</cp:revision>
  <dcterms:created xsi:type="dcterms:W3CDTF">2020-05-11T17:47:00Z</dcterms:created>
  <dcterms:modified xsi:type="dcterms:W3CDTF">2020-05-11T17:47:00Z</dcterms:modified>
</cp:coreProperties>
</file>